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6"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486"/>
      </w:tblGrid>
      <w:tr w:rsidR="00F17CC1" w:rsidRPr="00D85D71" w14:paraId="28D1C168" w14:textId="77777777">
        <w:trPr>
          <w:cantSplit/>
          <w:trHeight w:val="3485"/>
        </w:trPr>
        <w:tc>
          <w:tcPr>
            <w:tcW w:w="8486" w:type="dxa"/>
            <w:tcBorders>
              <w:bottom w:val="single" w:sz="4" w:space="0" w:color="auto"/>
            </w:tcBorders>
            <w:tcMar>
              <w:left w:w="0" w:type="dxa"/>
              <w:right w:w="0" w:type="dxa"/>
            </w:tcMar>
          </w:tcPr>
          <w:p w14:paraId="055ACE7F" w14:textId="77777777" w:rsidR="00F17CC1" w:rsidRPr="00D85D71" w:rsidRDefault="00F17CC1" w:rsidP="00091137">
            <w:pPr>
              <w:pStyle w:val="WEDC-36thWEDCConference"/>
              <w:rPr>
                <w:lang w:val="en-GB"/>
              </w:rPr>
            </w:pPr>
            <w:bookmarkStart w:id="0" w:name="_GoBack"/>
            <w:bookmarkEnd w:id="0"/>
            <w:r w:rsidRPr="00D85D71">
              <w:rPr>
                <w:lang w:val="en-GB"/>
              </w:rPr>
              <w:t>3</w:t>
            </w:r>
            <w:r w:rsidR="0035298D" w:rsidRPr="00D85D71">
              <w:rPr>
                <w:lang w:val="en-GB"/>
              </w:rPr>
              <w:t>8</w:t>
            </w:r>
            <w:r w:rsidRPr="00D85D71">
              <w:rPr>
                <w:lang w:val="en-GB"/>
              </w:rPr>
              <w:t xml:space="preserve">th WEDC International Conference, </w:t>
            </w:r>
            <w:r w:rsidR="0035298D" w:rsidRPr="00D85D71">
              <w:rPr>
                <w:lang w:val="en-GB"/>
              </w:rPr>
              <w:t>Loughborough University, UK</w:t>
            </w:r>
            <w:r w:rsidR="003609CD" w:rsidRPr="00D85D71">
              <w:rPr>
                <w:lang w:val="en-GB"/>
              </w:rPr>
              <w:t>, 2015</w:t>
            </w:r>
          </w:p>
          <w:p w14:paraId="07B08242" w14:textId="77777777" w:rsidR="00F17CC1" w:rsidRPr="00D85D71" w:rsidRDefault="00F17CC1">
            <w:pPr>
              <w:pStyle w:val="WEDC-Titleofconference"/>
              <w:tabs>
                <w:tab w:val="left" w:pos="3105"/>
              </w:tabs>
              <w:jc w:val="left"/>
              <w:rPr>
                <w:lang w:val="en-GB"/>
              </w:rPr>
            </w:pPr>
            <w:r w:rsidRPr="00D85D71">
              <w:rPr>
                <w:lang w:val="en-GB"/>
              </w:rPr>
              <w:tab/>
            </w:r>
          </w:p>
          <w:p w14:paraId="1981C039" w14:textId="77777777" w:rsidR="0035298D" w:rsidRPr="00D85D71" w:rsidRDefault="0035298D">
            <w:pPr>
              <w:pStyle w:val="WEDC-Titleofconference"/>
              <w:rPr>
                <w:lang w:val="en-GB"/>
              </w:rPr>
            </w:pPr>
            <w:r w:rsidRPr="00D85D71">
              <w:rPr>
                <w:lang w:val="en-GB"/>
              </w:rPr>
              <w:t>Water, sanitation</w:t>
            </w:r>
            <w:r w:rsidR="003609CD" w:rsidRPr="00D85D71">
              <w:rPr>
                <w:lang w:val="en-GB"/>
              </w:rPr>
              <w:t xml:space="preserve"> </w:t>
            </w:r>
            <w:r w:rsidRPr="00D85D71">
              <w:rPr>
                <w:lang w:val="en-GB"/>
              </w:rPr>
              <w:t>and hygiene services beyond 2015:</w:t>
            </w:r>
          </w:p>
          <w:p w14:paraId="21B7FE8F" w14:textId="77777777" w:rsidR="00537C34" w:rsidRPr="00D85D71" w:rsidRDefault="0035298D">
            <w:pPr>
              <w:pStyle w:val="WEDC-Titleofconference"/>
              <w:rPr>
                <w:lang w:val="en-GB"/>
              </w:rPr>
            </w:pPr>
            <w:r w:rsidRPr="00D85D71">
              <w:rPr>
                <w:lang w:val="en-GB"/>
              </w:rPr>
              <w:t>improving access and sustainability</w:t>
            </w:r>
          </w:p>
          <w:p w14:paraId="2AAD821A" w14:textId="77777777" w:rsidR="00091137" w:rsidRPr="00D85D71" w:rsidRDefault="00091137">
            <w:pPr>
              <w:pStyle w:val="WEDC-Titleofconference"/>
              <w:rPr>
                <w:lang w:val="en-GB"/>
              </w:rPr>
            </w:pPr>
          </w:p>
          <w:p w14:paraId="5D64E43A" w14:textId="77777777" w:rsidR="00F17CC1" w:rsidRPr="00D85D71" w:rsidRDefault="00F17CC1" w:rsidP="00061FD3">
            <w:pPr>
              <w:pStyle w:val="WEDC-Titleofpaper"/>
            </w:pPr>
            <w:r w:rsidRPr="00D85D71">
              <w:t xml:space="preserve"> </w:t>
            </w:r>
            <w:r w:rsidR="00C73A43" w:rsidRPr="00D85D71">
              <w:t>Determinants of Service Sustainability</w:t>
            </w:r>
            <w:r w:rsidR="000333C9" w:rsidRPr="00D85D71">
              <w:t>:</w:t>
            </w:r>
            <w:r w:rsidR="00537C34" w:rsidRPr="00D85D71">
              <w:br/>
            </w:r>
            <w:r w:rsidR="00C73A43" w:rsidRPr="00D85D71">
              <w:t>Small Piped Water Schemes in Rural Rwanda</w:t>
            </w:r>
          </w:p>
          <w:p w14:paraId="02947B89" w14:textId="77777777" w:rsidR="00F17CC1" w:rsidRPr="00D85D71" w:rsidRDefault="00F17CC1">
            <w:pPr>
              <w:pStyle w:val="WEDC-Titleofconference"/>
              <w:rPr>
                <w:lang w:val="en-GB"/>
              </w:rPr>
            </w:pPr>
          </w:p>
          <w:p w14:paraId="1553F0EB" w14:textId="77777777" w:rsidR="00F17CC1" w:rsidRPr="00D85D71" w:rsidRDefault="00C73A43">
            <w:pPr>
              <w:pStyle w:val="WEDC-Authorsandcountry"/>
            </w:pPr>
            <w:r w:rsidRPr="00D85D71">
              <w:t>M</w:t>
            </w:r>
            <w:r w:rsidR="00537C34" w:rsidRPr="00D85D71">
              <w:t>.</w:t>
            </w:r>
            <w:r w:rsidRPr="00D85D71">
              <w:t xml:space="preserve"> </w:t>
            </w:r>
            <w:proofErr w:type="spellStart"/>
            <w:r w:rsidRPr="00D85D71">
              <w:t>Wolfsbauer</w:t>
            </w:r>
            <w:proofErr w:type="spellEnd"/>
            <w:r w:rsidR="00007482" w:rsidRPr="00D85D71">
              <w:t xml:space="preserve"> &amp; C. Brewer</w:t>
            </w:r>
            <w:r w:rsidRPr="00D85D71">
              <w:t xml:space="preserve"> (Kenya</w:t>
            </w:r>
            <w:r w:rsidR="00537C34" w:rsidRPr="00D85D71">
              <w:t>)</w:t>
            </w:r>
            <w:r w:rsidR="00F17CC1" w:rsidRPr="00D85D71">
              <w:t xml:space="preserve"> </w:t>
            </w:r>
          </w:p>
          <w:p w14:paraId="504E190D" w14:textId="77777777" w:rsidR="00F17CC1" w:rsidRPr="00D85D71" w:rsidRDefault="00F17CC1">
            <w:pPr>
              <w:pStyle w:val="WEDC-Bodytext-P1"/>
            </w:pPr>
          </w:p>
          <w:p w14:paraId="5F23E29C" w14:textId="77777777" w:rsidR="00F17CC1" w:rsidRPr="00D85D71" w:rsidRDefault="00D9393E" w:rsidP="00B32544">
            <w:pPr>
              <w:pStyle w:val="Header"/>
              <w:rPr>
                <w:b/>
                <w:color w:val="auto"/>
              </w:rPr>
            </w:pPr>
            <w:r w:rsidRPr="00D85D71">
              <w:rPr>
                <w:b/>
                <w:color w:val="auto"/>
              </w:rPr>
              <w:t>BRIeFING</w:t>
            </w:r>
            <w:r w:rsidR="00415EE2" w:rsidRPr="00D85D71">
              <w:rPr>
                <w:b/>
                <w:color w:val="auto"/>
              </w:rPr>
              <w:t xml:space="preserve"> PAPER</w:t>
            </w:r>
            <w:r w:rsidRPr="00D85D71">
              <w:rPr>
                <w:b/>
                <w:color w:val="auto"/>
              </w:rPr>
              <w:t xml:space="preserve"> </w:t>
            </w:r>
          </w:p>
          <w:p w14:paraId="7EB9612C" w14:textId="77777777" w:rsidR="00F17CC1" w:rsidRPr="00D85D71" w:rsidRDefault="00F17CC1">
            <w:pPr>
              <w:pStyle w:val="WEDC-Bodytext-P1"/>
            </w:pPr>
          </w:p>
        </w:tc>
      </w:tr>
      <w:tr w:rsidR="00F17CC1" w:rsidRPr="00D85D71" w14:paraId="4BD7E1AC" w14:textId="77777777">
        <w:trPr>
          <w:cantSplit/>
          <w:trHeight w:val="2111"/>
        </w:trPr>
        <w:tc>
          <w:tcPr>
            <w:tcW w:w="8486" w:type="dxa"/>
            <w:tcBorders>
              <w:top w:val="single" w:sz="4" w:space="0" w:color="auto"/>
              <w:bottom w:val="single" w:sz="4" w:space="0" w:color="auto"/>
            </w:tcBorders>
            <w:tcMar>
              <w:left w:w="0" w:type="dxa"/>
              <w:right w:w="0" w:type="dxa"/>
            </w:tcMar>
          </w:tcPr>
          <w:p w14:paraId="11F58654" w14:textId="77777777" w:rsidR="00F17CC1" w:rsidRPr="00D85D71" w:rsidRDefault="00F17CC1">
            <w:pPr>
              <w:pStyle w:val="WEDC-Abstract"/>
            </w:pPr>
          </w:p>
          <w:p w14:paraId="132F0C4D" w14:textId="6D746D40" w:rsidR="00F17CC1" w:rsidRPr="00D85D71" w:rsidRDefault="009C7054">
            <w:pPr>
              <w:pStyle w:val="WEDC-Abstract"/>
            </w:pPr>
            <w:r>
              <w:t>A</w:t>
            </w:r>
            <w:r w:rsidR="003A3F94">
              <w:t xml:space="preserve"> study into the sustainability of rural, small piped water systems in Rw</w:t>
            </w:r>
            <w:r w:rsidR="003F07E5">
              <w:t xml:space="preserve">anda found that: </w:t>
            </w:r>
            <w:r w:rsidR="003F07E5" w:rsidRPr="00574ACC">
              <w:t>a) the energy source for conveying water through the system was an important cost driver and directly affected the price of the water tariff; b) consumer demand for water may be price elastic and higher prices may increase use of cheaper, non-safe alternatives; a</w:t>
            </w:r>
            <w:r w:rsidR="003F07E5">
              <w:t xml:space="preserve">nd </w:t>
            </w:r>
            <w:r w:rsidR="000055E8" w:rsidRPr="000055E8">
              <w:t>c) local government support</w:t>
            </w:r>
            <w:r w:rsidR="003F07E5" w:rsidRPr="000055E8">
              <w:t xml:space="preserve"> may be necessary to cover large maintenance and repair costs and assist with planning.</w:t>
            </w:r>
            <w:r w:rsidR="003F07E5">
              <w:t xml:space="preserve"> The study further considered the efficacy of different service provider models</w:t>
            </w:r>
            <w:r w:rsidR="00926039">
              <w:t>;</w:t>
            </w:r>
            <w:r w:rsidR="003F07E5">
              <w:t xml:space="preserve"> however</w:t>
            </w:r>
            <w:r w:rsidR="00926039">
              <w:t>,</w:t>
            </w:r>
            <w:r w:rsidR="003F07E5">
              <w:t xml:space="preserve"> results were not conclusive on which service provider model is most likely to sustain a service over time.</w:t>
            </w:r>
          </w:p>
          <w:p w14:paraId="0EF799E7" w14:textId="77777777" w:rsidR="00F17CC1" w:rsidRPr="00D85D71" w:rsidRDefault="00F17CC1">
            <w:pPr>
              <w:pStyle w:val="WEDC-Bodytext-P1"/>
              <w:rPr>
                <w:i/>
              </w:rPr>
            </w:pPr>
          </w:p>
        </w:tc>
      </w:tr>
    </w:tbl>
    <w:p w14:paraId="33F96A83" w14:textId="77777777" w:rsidR="00F17CC1" w:rsidRPr="00D85D71" w:rsidRDefault="00F17CC1">
      <w:pPr>
        <w:pStyle w:val="WEDC-Bodytext-P1"/>
      </w:pPr>
    </w:p>
    <w:p w14:paraId="49651ED4" w14:textId="0D599714" w:rsidR="00F25E93" w:rsidRPr="002B14B4" w:rsidRDefault="00583676" w:rsidP="004A1970">
      <w:pPr>
        <w:pStyle w:val="Heading1"/>
      </w:pPr>
      <w:r w:rsidRPr="002B14B4">
        <w:t>Introduction</w:t>
      </w:r>
    </w:p>
    <w:p w14:paraId="4EDAE6CC" w14:textId="65A87FBC" w:rsidR="00D85D71" w:rsidRPr="002B14B4" w:rsidRDefault="001021CA" w:rsidP="004A1970">
      <w:pPr>
        <w:pStyle w:val="WEDC-Bodytext-P1"/>
        <w:rPr>
          <w:bCs w:val="0"/>
        </w:rPr>
      </w:pPr>
      <w:r w:rsidRPr="002B14B4">
        <w:rPr>
          <w:bCs w:val="0"/>
        </w:rPr>
        <w:t>The International Federation of Red Cross and Red Crescent Societies ha</w:t>
      </w:r>
      <w:r w:rsidR="0007760B">
        <w:rPr>
          <w:bCs w:val="0"/>
        </w:rPr>
        <w:t>ve</w:t>
      </w:r>
      <w:r w:rsidRPr="002B14B4">
        <w:rPr>
          <w:bCs w:val="0"/>
        </w:rPr>
        <w:t xml:space="preserve"> funded</w:t>
      </w:r>
      <w:r w:rsidR="00FC71AC" w:rsidRPr="002B14B4">
        <w:rPr>
          <w:bCs w:val="0"/>
        </w:rPr>
        <w:t xml:space="preserve"> the construction </w:t>
      </w:r>
      <w:r w:rsidR="00FC71AC" w:rsidRPr="0007760B">
        <w:rPr>
          <w:bCs w:val="0"/>
          <w:color w:val="auto"/>
        </w:rPr>
        <w:t>of</w:t>
      </w:r>
      <w:r w:rsidRPr="0007760B">
        <w:rPr>
          <w:bCs w:val="0"/>
          <w:color w:val="auto"/>
        </w:rPr>
        <w:t xml:space="preserve"> </w:t>
      </w:r>
      <w:r w:rsidR="0007760B" w:rsidRPr="0007760B">
        <w:rPr>
          <w:bCs w:val="0"/>
          <w:color w:val="auto"/>
        </w:rPr>
        <w:t>19</w:t>
      </w:r>
      <w:r w:rsidR="0007760B" w:rsidRPr="002B14B4">
        <w:rPr>
          <w:b/>
          <w:bCs w:val="0"/>
        </w:rPr>
        <w:t xml:space="preserve"> </w:t>
      </w:r>
      <w:r w:rsidRPr="002B14B4">
        <w:rPr>
          <w:bCs w:val="0"/>
        </w:rPr>
        <w:t xml:space="preserve">rural water supply systems </w:t>
      </w:r>
      <w:r w:rsidRPr="002B14B4">
        <w:t>in</w:t>
      </w:r>
      <w:r w:rsidRPr="002B14B4">
        <w:rPr>
          <w:bCs w:val="0"/>
        </w:rPr>
        <w:t xml:space="preserve"> Rwanda since the </w:t>
      </w:r>
      <w:r w:rsidR="0097702C" w:rsidRPr="002B14B4">
        <w:rPr>
          <w:bCs w:val="0"/>
        </w:rPr>
        <w:t>country emerged from conflict</w:t>
      </w:r>
      <w:r w:rsidRPr="002B14B4">
        <w:rPr>
          <w:bCs w:val="0"/>
        </w:rPr>
        <w:t xml:space="preserve">. Given </w:t>
      </w:r>
      <w:r w:rsidR="0097702C" w:rsidRPr="002B14B4">
        <w:rPr>
          <w:bCs w:val="0"/>
        </w:rPr>
        <w:t xml:space="preserve">the scale of </w:t>
      </w:r>
      <w:r w:rsidRPr="002B14B4">
        <w:rPr>
          <w:bCs w:val="0"/>
        </w:rPr>
        <w:t>this investment, the Norwegian Red Cross Society was interested in reviewing the sustainability of rural water supply systems</w:t>
      </w:r>
      <w:r w:rsidR="001526C5" w:rsidRPr="002B14B4">
        <w:rPr>
          <w:bCs w:val="0"/>
        </w:rPr>
        <w:t xml:space="preserve"> in Rwanda</w:t>
      </w:r>
      <w:r w:rsidRPr="002B14B4">
        <w:rPr>
          <w:bCs w:val="0"/>
        </w:rPr>
        <w:t xml:space="preserve"> to help </w:t>
      </w:r>
      <w:r w:rsidR="00D1163C" w:rsidRPr="002B14B4">
        <w:rPr>
          <w:bCs w:val="0"/>
        </w:rPr>
        <w:t>guide and inform future investments in the country</w:t>
      </w:r>
      <w:r w:rsidR="00D85D71" w:rsidRPr="002B14B4">
        <w:rPr>
          <w:bCs w:val="0"/>
        </w:rPr>
        <w:t xml:space="preserve">. </w:t>
      </w:r>
    </w:p>
    <w:p w14:paraId="3ED509E9" w14:textId="21DBC020" w:rsidR="001021CA" w:rsidRPr="002B14B4" w:rsidRDefault="00D85D71" w:rsidP="00D85D71">
      <w:pPr>
        <w:pStyle w:val="WEDC-Bodytext-P2"/>
        <w:rPr>
          <w:bCs/>
        </w:rPr>
      </w:pPr>
      <w:r w:rsidRPr="002B14B4">
        <w:rPr>
          <w:bCs/>
        </w:rPr>
        <w:t>A</w:t>
      </w:r>
      <w:r w:rsidR="001021CA" w:rsidRPr="002B14B4">
        <w:rPr>
          <w:bCs/>
        </w:rPr>
        <w:t xml:space="preserve"> study of seven rural water supply services was undertaken in Rwanda in 2014.</w:t>
      </w:r>
      <w:r w:rsidRPr="002B14B4">
        <w:rPr>
          <w:bCs/>
        </w:rPr>
        <w:t xml:space="preserve"> </w:t>
      </w:r>
      <w:r w:rsidR="001021CA" w:rsidRPr="002B14B4">
        <w:rPr>
          <w:bCs/>
        </w:rPr>
        <w:t>The study was split into three phases: a literature review of current thinking on sustainability and the parameters of assessing service qu</w:t>
      </w:r>
      <w:r w:rsidR="00BF0B3A" w:rsidRPr="002B14B4">
        <w:rPr>
          <w:bCs/>
        </w:rPr>
        <w:t>ality;</w:t>
      </w:r>
      <w:r w:rsidR="001021CA" w:rsidRPr="002B14B4">
        <w:rPr>
          <w:bCs/>
        </w:rPr>
        <w:t xml:space="preserve"> an ex-post evaluation of two systems built by the Norwegian Red Cross Society</w:t>
      </w:r>
      <w:r w:rsidR="00880B01">
        <w:rPr>
          <w:bCs/>
        </w:rPr>
        <w:t xml:space="preserve"> in </w:t>
      </w:r>
      <w:proofErr w:type="spellStart"/>
      <w:r w:rsidR="00880B01">
        <w:rPr>
          <w:bCs/>
        </w:rPr>
        <w:t>Gisigara</w:t>
      </w:r>
      <w:proofErr w:type="spellEnd"/>
      <w:r w:rsidR="00880B01">
        <w:rPr>
          <w:bCs/>
        </w:rPr>
        <w:t xml:space="preserve"> and Nyanza</w:t>
      </w:r>
      <w:r w:rsidR="00BF0B3A" w:rsidRPr="002B14B4">
        <w:rPr>
          <w:bCs/>
        </w:rPr>
        <w:t>;</w:t>
      </w:r>
      <w:r w:rsidR="001021CA" w:rsidRPr="002B14B4">
        <w:rPr>
          <w:bCs/>
        </w:rPr>
        <w:t xml:space="preserve"> and a shorter review of five additional systems, with no preference for who funded the system’s construction.</w:t>
      </w:r>
    </w:p>
    <w:p w14:paraId="0DEA0C69" w14:textId="1CD5AF04" w:rsidR="00091137" w:rsidRPr="002B14B4" w:rsidRDefault="00E02497" w:rsidP="009B740F">
      <w:pPr>
        <w:pStyle w:val="WEDC-Bodytext-P2"/>
        <w:rPr>
          <w:bCs/>
        </w:rPr>
      </w:pPr>
      <w:r>
        <w:rPr>
          <w:bCs/>
        </w:rPr>
        <w:t>T</w:t>
      </w:r>
      <w:r w:rsidR="001021CA" w:rsidRPr="002B14B4">
        <w:rPr>
          <w:bCs/>
        </w:rPr>
        <w:t xml:space="preserve">he information gathered by the study </w:t>
      </w:r>
      <w:r w:rsidR="00A3004B">
        <w:rPr>
          <w:bCs/>
        </w:rPr>
        <w:t>will inform the drafting of a</w:t>
      </w:r>
      <w:r w:rsidR="001021CA" w:rsidRPr="002B14B4">
        <w:rPr>
          <w:bCs/>
        </w:rPr>
        <w:t xml:space="preserve"> good practice guideline on sustainable rural water supply </w:t>
      </w:r>
      <w:r w:rsidR="00A3004B">
        <w:rPr>
          <w:bCs/>
        </w:rPr>
        <w:t>service provision</w:t>
      </w:r>
      <w:r w:rsidR="00A3004B" w:rsidRPr="002B14B4">
        <w:rPr>
          <w:bCs/>
        </w:rPr>
        <w:t xml:space="preserve"> </w:t>
      </w:r>
      <w:r w:rsidR="001021CA" w:rsidRPr="002B14B4">
        <w:rPr>
          <w:bCs/>
        </w:rPr>
        <w:t>in Rwanda. This briefing summarises the findings of the ex-post evaluation and the system reviews.</w:t>
      </w:r>
    </w:p>
    <w:p w14:paraId="66EAC6AC" w14:textId="77777777" w:rsidR="008728AE" w:rsidRPr="002B14B4" w:rsidRDefault="008728AE" w:rsidP="008728AE">
      <w:pPr>
        <w:pStyle w:val="WEDC-Bodytext-P2"/>
        <w:rPr>
          <w:rFonts w:ascii="Times" w:hAnsi="Times"/>
          <w:bCs/>
          <w:color w:val="auto"/>
        </w:rPr>
      </w:pPr>
    </w:p>
    <w:p w14:paraId="57D4ACF8" w14:textId="77777777" w:rsidR="00961ADB" w:rsidRPr="002B14B4" w:rsidRDefault="00583676" w:rsidP="00961ADB">
      <w:pPr>
        <w:pStyle w:val="Heading1"/>
      </w:pPr>
      <w:r w:rsidRPr="002B14B4">
        <w:t>Rural Water Supply in Rwanda</w:t>
      </w:r>
    </w:p>
    <w:p w14:paraId="14FC82EF" w14:textId="06665FED" w:rsidR="009B740F" w:rsidRPr="002B14B4" w:rsidRDefault="009B740F" w:rsidP="004A1970">
      <w:pPr>
        <w:pStyle w:val="WEDC-Bodytext-P2"/>
        <w:ind w:firstLine="0"/>
        <w:rPr>
          <w:bCs/>
          <w:color w:val="auto"/>
        </w:rPr>
      </w:pPr>
      <w:r w:rsidRPr="002B14B4">
        <w:rPr>
          <w:bCs/>
        </w:rPr>
        <w:t xml:space="preserve">Rwanda is a densely populated country, with a population estimated at 11.8 million people living within a </w:t>
      </w:r>
      <w:r w:rsidRPr="002B14B4">
        <w:rPr>
          <w:bCs/>
          <w:color w:val="auto"/>
        </w:rPr>
        <w:t xml:space="preserve">24,670 km square land area (UNDP, 2013). </w:t>
      </w:r>
      <w:r w:rsidR="00E02497">
        <w:rPr>
          <w:bCs/>
          <w:color w:val="auto"/>
        </w:rPr>
        <w:t>Roughly 80%</w:t>
      </w:r>
      <w:r w:rsidRPr="002B14B4">
        <w:rPr>
          <w:bCs/>
          <w:color w:val="auto"/>
        </w:rPr>
        <w:t xml:space="preserve"> of the population lives in rural areas (</w:t>
      </w:r>
      <w:proofErr w:type="spellStart"/>
      <w:r w:rsidRPr="002B14B4">
        <w:rPr>
          <w:bCs/>
          <w:color w:val="auto"/>
        </w:rPr>
        <w:t>Ansoms</w:t>
      </w:r>
      <w:proofErr w:type="spellEnd"/>
      <w:r w:rsidRPr="002B14B4">
        <w:rPr>
          <w:bCs/>
          <w:color w:val="auto"/>
        </w:rPr>
        <w:t xml:space="preserve"> and </w:t>
      </w:r>
      <w:proofErr w:type="spellStart"/>
      <w:r w:rsidRPr="002B14B4">
        <w:rPr>
          <w:bCs/>
          <w:color w:val="auto"/>
        </w:rPr>
        <w:t>Rostagno</w:t>
      </w:r>
      <w:proofErr w:type="spellEnd"/>
      <w:r w:rsidRPr="002B14B4">
        <w:rPr>
          <w:bCs/>
          <w:color w:val="auto"/>
        </w:rPr>
        <w:t>, 2012), and approximately one third of rural Rwandans do not have access to an improved water source (WHO and UNICEF, 2014).</w:t>
      </w:r>
    </w:p>
    <w:p w14:paraId="3637C053" w14:textId="5A5EF2F0" w:rsidR="00961ADB" w:rsidRPr="002B14B4" w:rsidRDefault="009B740F" w:rsidP="00961ADB">
      <w:pPr>
        <w:pStyle w:val="WEDC-Bodytext-P2"/>
        <w:rPr>
          <w:bCs/>
        </w:rPr>
      </w:pPr>
      <w:r w:rsidRPr="002B14B4">
        <w:rPr>
          <w:bCs/>
        </w:rPr>
        <w:t xml:space="preserve">Rural water supply </w:t>
      </w:r>
      <w:r w:rsidR="00BF0B3A" w:rsidRPr="002B14B4">
        <w:rPr>
          <w:bCs/>
        </w:rPr>
        <w:t>systems</w:t>
      </w:r>
      <w:r w:rsidRPr="002B14B4">
        <w:rPr>
          <w:bCs/>
        </w:rPr>
        <w:t xml:space="preserve"> in Rwanda are </w:t>
      </w:r>
      <w:r w:rsidR="00BF0B3A" w:rsidRPr="002B14B4">
        <w:rPr>
          <w:bCs/>
        </w:rPr>
        <w:t>typically</w:t>
      </w:r>
      <w:r w:rsidRPr="002B14B4">
        <w:rPr>
          <w:bCs/>
        </w:rPr>
        <w:t xml:space="preserve"> small piped water scheme</w:t>
      </w:r>
      <w:r w:rsidR="00047E43" w:rsidRPr="002B14B4">
        <w:rPr>
          <w:bCs/>
        </w:rPr>
        <w:t xml:space="preserve">s </w:t>
      </w:r>
      <w:r w:rsidRPr="002B14B4">
        <w:rPr>
          <w:bCs/>
        </w:rPr>
        <w:t>due to the hilly topography, which limits the use of boreholes.</w:t>
      </w:r>
      <w:r w:rsidR="00961ADB" w:rsidRPr="002B14B4">
        <w:rPr>
          <w:bCs/>
          <w:vertAlign w:val="superscript"/>
        </w:rPr>
        <w:t>1</w:t>
      </w:r>
      <w:r w:rsidRPr="002B14B4">
        <w:rPr>
          <w:bCs/>
        </w:rPr>
        <w:t xml:space="preserve"> The Government supports a range of public service provision models for supply, including community management committees and private operators, with the government limiting itself to directly managing </w:t>
      </w:r>
      <w:r w:rsidR="00A75244">
        <w:rPr>
          <w:bCs/>
        </w:rPr>
        <w:t xml:space="preserve">only those </w:t>
      </w:r>
      <w:r w:rsidRPr="002B14B4">
        <w:rPr>
          <w:bCs/>
        </w:rPr>
        <w:t>services that cross district boundaries (</w:t>
      </w:r>
      <w:proofErr w:type="spellStart"/>
      <w:r w:rsidRPr="002B14B4">
        <w:rPr>
          <w:bCs/>
        </w:rPr>
        <w:t>Gisigara</w:t>
      </w:r>
      <w:proofErr w:type="spellEnd"/>
      <w:r w:rsidRPr="002B14B4">
        <w:rPr>
          <w:bCs/>
        </w:rPr>
        <w:t xml:space="preserve"> District Information Officer, Pers. Comm., 21 November 2014). Small piped water schemes under delegated management are therefore common in rural communities.</w:t>
      </w:r>
    </w:p>
    <w:p w14:paraId="13D9FE28" w14:textId="207AACFA" w:rsidR="009B740F" w:rsidRDefault="009B740F" w:rsidP="009B740F">
      <w:pPr>
        <w:pStyle w:val="WEDC-Bodytext-P2"/>
        <w:rPr>
          <w:bCs/>
          <w:color w:val="auto"/>
        </w:rPr>
      </w:pPr>
      <w:r w:rsidRPr="002B14B4">
        <w:rPr>
          <w:bCs/>
        </w:rPr>
        <w:t xml:space="preserve">Since 2010 the Rwandan Government has placed an emphasis on </w:t>
      </w:r>
      <w:r w:rsidR="00E27898" w:rsidRPr="002B14B4">
        <w:rPr>
          <w:bCs/>
        </w:rPr>
        <w:t>the use of private operator</w:t>
      </w:r>
      <w:r w:rsidRPr="002B14B4">
        <w:rPr>
          <w:bCs/>
        </w:rPr>
        <w:t xml:space="preserve">s in response to the low functionality of piped rural water systems. This emphasis is reflected in the Government’s Economic and Poverty Reduction Strategy, </w:t>
      </w:r>
      <w:r w:rsidRPr="002B14B4">
        <w:rPr>
          <w:bCs/>
          <w:color w:val="auto"/>
        </w:rPr>
        <w:t>which aim</w:t>
      </w:r>
      <w:r w:rsidR="00880B01">
        <w:rPr>
          <w:bCs/>
          <w:color w:val="auto"/>
        </w:rPr>
        <w:t>ed</w:t>
      </w:r>
      <w:r w:rsidRPr="002B14B4">
        <w:rPr>
          <w:bCs/>
          <w:color w:val="auto"/>
        </w:rPr>
        <w:t xml:space="preserve"> for 50% of water systems to be managed through </w:t>
      </w:r>
      <w:r w:rsidR="00E27898" w:rsidRPr="002B14B4">
        <w:rPr>
          <w:bCs/>
          <w:color w:val="auto"/>
        </w:rPr>
        <w:t>Public Private Partnership</w:t>
      </w:r>
      <w:r w:rsidRPr="002B14B4">
        <w:rPr>
          <w:bCs/>
          <w:color w:val="auto"/>
        </w:rPr>
        <w:t>s</w:t>
      </w:r>
      <w:r w:rsidR="00E27898" w:rsidRPr="002B14B4">
        <w:rPr>
          <w:bCs/>
          <w:color w:val="auto"/>
        </w:rPr>
        <w:t xml:space="preserve"> (PPPs)</w:t>
      </w:r>
      <w:r w:rsidRPr="002B14B4">
        <w:rPr>
          <w:bCs/>
          <w:color w:val="auto"/>
        </w:rPr>
        <w:t xml:space="preserve"> by 2012 (Water and Sanitation Program, 2011). Consequently, PPPs have </w:t>
      </w:r>
      <w:r w:rsidRPr="002B14B4">
        <w:rPr>
          <w:bCs/>
          <w:color w:val="auto"/>
        </w:rPr>
        <w:lastRenderedPageBreak/>
        <w:t xml:space="preserve">become a growth area. As of 2010, 235 rural water supply systems were privately managed through </w:t>
      </w:r>
      <w:r w:rsidR="00E27898" w:rsidRPr="002B14B4">
        <w:rPr>
          <w:bCs/>
          <w:color w:val="auto"/>
        </w:rPr>
        <w:t>PPP</w:t>
      </w:r>
      <w:r w:rsidRPr="002B14B4">
        <w:rPr>
          <w:bCs/>
          <w:color w:val="auto"/>
        </w:rPr>
        <w:t>s in Rwanda, constituting 28% of the country’s water supply systems (Pr</w:t>
      </w:r>
      <w:r w:rsidR="008A26F0">
        <w:rPr>
          <w:bCs/>
          <w:color w:val="auto"/>
        </w:rPr>
        <w:t>e</w:t>
      </w:r>
      <w:r w:rsidRPr="002B14B4">
        <w:rPr>
          <w:bCs/>
          <w:color w:val="auto"/>
        </w:rPr>
        <w:t>vost et al, 2010).</w:t>
      </w:r>
    </w:p>
    <w:p w14:paraId="1D4AB28D" w14:textId="77777777" w:rsidR="00880B01" w:rsidRPr="002B14B4" w:rsidRDefault="00880B01" w:rsidP="009B740F">
      <w:pPr>
        <w:pStyle w:val="WEDC-Bodytext-P2"/>
        <w:rPr>
          <w:bCs/>
          <w:color w:val="auto"/>
        </w:rPr>
      </w:pPr>
    </w:p>
    <w:p w14:paraId="06D6BCC4" w14:textId="478C6CC1" w:rsidR="00583676" w:rsidRPr="002B14B4" w:rsidRDefault="006012DE" w:rsidP="00583676">
      <w:pPr>
        <w:pStyle w:val="Heading1"/>
      </w:pPr>
      <w:r w:rsidRPr="002B14B4">
        <w:t>Study Aims and Hypothese</w:t>
      </w:r>
      <w:r w:rsidR="00583676" w:rsidRPr="002B14B4">
        <w:t>s</w:t>
      </w:r>
    </w:p>
    <w:p w14:paraId="65E5EDF4" w14:textId="6195DDC4" w:rsidR="00C6578C" w:rsidRPr="002B14B4" w:rsidRDefault="00C6578C" w:rsidP="004A1970">
      <w:pPr>
        <w:pStyle w:val="WEDC-Bodytext-P2"/>
        <w:ind w:firstLine="0"/>
        <w:rPr>
          <w:color w:val="auto"/>
        </w:rPr>
      </w:pPr>
      <w:r w:rsidRPr="002B14B4">
        <w:t xml:space="preserve">The study was commissioned by the Norwegian Red Cross to </w:t>
      </w:r>
      <w:r w:rsidR="00B3315D" w:rsidRPr="002B14B4">
        <w:t xml:space="preserve">prepare guidelines on designing sustainable rural water supply services in Rwanda. The study sought to </w:t>
      </w:r>
      <w:r w:rsidRPr="002B14B4">
        <w:t xml:space="preserve">understand the key determinants </w:t>
      </w:r>
      <w:r w:rsidR="00602F10" w:rsidRPr="002B14B4">
        <w:t>of</w:t>
      </w:r>
      <w:r w:rsidRPr="002B14B4">
        <w:t xml:space="preserve"> the </w:t>
      </w:r>
      <w:r w:rsidRPr="002B14B4">
        <w:rPr>
          <w:bCs/>
        </w:rPr>
        <w:t>sustainability</w:t>
      </w:r>
      <w:r w:rsidR="00602F10" w:rsidRPr="002B14B4">
        <w:t xml:space="preserve"> </w:t>
      </w:r>
      <w:r w:rsidR="00B3315D" w:rsidRPr="002B14B4">
        <w:t>of such</w:t>
      </w:r>
      <w:r w:rsidRPr="002B14B4">
        <w:t xml:space="preserve"> services in Rwanda</w:t>
      </w:r>
      <w:r w:rsidR="00B3315D" w:rsidRPr="002B14B4">
        <w:t xml:space="preserve"> so as to provide an evidence base for the guidelines</w:t>
      </w:r>
      <w:r w:rsidRPr="002B14B4">
        <w:t>. The study design focus</w:t>
      </w:r>
      <w:r w:rsidR="008E0DE8" w:rsidRPr="002B14B4">
        <w:t>ed on small piped water systems,</w:t>
      </w:r>
      <w:r w:rsidRPr="002B14B4">
        <w:t xml:space="preserve"> as they are the most common </w:t>
      </w:r>
      <w:r w:rsidR="005551C8" w:rsidRPr="002B14B4">
        <w:t>improved source for</w:t>
      </w:r>
      <w:r w:rsidR="00602F10" w:rsidRPr="002B14B4">
        <w:t xml:space="preserve"> </w:t>
      </w:r>
      <w:r w:rsidR="005551C8" w:rsidRPr="002B14B4">
        <w:t xml:space="preserve">providing water to </w:t>
      </w:r>
      <w:r w:rsidR="00602F10" w:rsidRPr="002B14B4">
        <w:t>rural communities</w:t>
      </w:r>
      <w:r w:rsidR="0084314A" w:rsidRPr="002B14B4">
        <w:t xml:space="preserve">, after protected </w:t>
      </w:r>
      <w:r w:rsidR="0084314A" w:rsidRPr="002B14B4">
        <w:rPr>
          <w:color w:val="auto"/>
        </w:rPr>
        <w:t>springs (</w:t>
      </w:r>
      <w:r w:rsidR="00BF0B3A" w:rsidRPr="002B14B4">
        <w:rPr>
          <w:color w:val="auto"/>
        </w:rPr>
        <w:t>EWSA, 2010</w:t>
      </w:r>
      <w:r w:rsidR="0084314A" w:rsidRPr="002B14B4">
        <w:rPr>
          <w:color w:val="auto"/>
        </w:rPr>
        <w:t>)</w:t>
      </w:r>
      <w:r w:rsidR="00602F10" w:rsidRPr="002B14B4">
        <w:rPr>
          <w:color w:val="auto"/>
        </w:rPr>
        <w:t>.</w:t>
      </w:r>
    </w:p>
    <w:p w14:paraId="0D225B52" w14:textId="4DC5C6C1" w:rsidR="003A2660" w:rsidRPr="002B14B4" w:rsidRDefault="00602F10" w:rsidP="003A2660">
      <w:pPr>
        <w:pStyle w:val="WEDC-Bodytext-P2"/>
        <w:rPr>
          <w:noProof/>
        </w:rPr>
      </w:pPr>
      <w:r w:rsidRPr="002B14B4">
        <w:t xml:space="preserve">The study </w:t>
      </w:r>
      <w:r w:rsidR="00DC03FE" w:rsidRPr="002B14B4">
        <w:t>was exploratory in nature</w:t>
      </w:r>
      <w:r w:rsidR="0061347B" w:rsidRPr="002B14B4">
        <w:t>.</w:t>
      </w:r>
      <w:r w:rsidR="00DC03FE" w:rsidRPr="002B14B4">
        <w:t xml:space="preserve"> </w:t>
      </w:r>
      <w:r w:rsidR="0061347B" w:rsidRPr="002B14B4">
        <w:t xml:space="preserve">An initial literature review identified </w:t>
      </w:r>
      <w:r w:rsidR="003A2660" w:rsidRPr="002B14B4">
        <w:t xml:space="preserve">eight parameters that academics and development practitioners consider to be of significance for </w:t>
      </w:r>
      <w:r w:rsidR="003A2660" w:rsidRPr="002B14B4">
        <w:rPr>
          <w:color w:val="auto"/>
        </w:rPr>
        <w:t xml:space="preserve">sustainability, including </w:t>
      </w:r>
      <w:r w:rsidR="002E6118" w:rsidRPr="002B14B4">
        <w:rPr>
          <w:color w:val="auto"/>
        </w:rPr>
        <w:t>user participation throughout the project cycle (</w:t>
      </w:r>
      <w:r w:rsidR="002E6118" w:rsidRPr="002B14B4">
        <w:rPr>
          <w:noProof/>
          <w:color w:val="auto"/>
        </w:rPr>
        <w:t>de Albuquerque, 2014</w:t>
      </w:r>
      <w:r w:rsidR="002413CA">
        <w:rPr>
          <w:noProof/>
          <w:color w:val="auto"/>
        </w:rPr>
        <w:t>;</w:t>
      </w:r>
      <w:r w:rsidR="002E6118" w:rsidRPr="002B14B4">
        <w:rPr>
          <w:noProof/>
          <w:color w:val="auto"/>
        </w:rPr>
        <w:t xml:space="preserve"> WaterAid, 2011</w:t>
      </w:r>
      <w:r w:rsidR="002413CA">
        <w:rPr>
          <w:noProof/>
          <w:color w:val="auto"/>
        </w:rPr>
        <w:t>;</w:t>
      </w:r>
      <w:r w:rsidR="002E6118" w:rsidRPr="002B14B4">
        <w:rPr>
          <w:noProof/>
          <w:color w:val="auto"/>
        </w:rPr>
        <w:t xml:space="preserve"> Narayan, 1995), </w:t>
      </w:r>
      <w:r w:rsidR="003A2660" w:rsidRPr="002B14B4">
        <w:rPr>
          <w:color w:val="auto"/>
        </w:rPr>
        <w:t>planning and budgeting for the life cycle costs of a service (Harvey, 2007</w:t>
      </w:r>
      <w:r w:rsidR="002413CA">
        <w:rPr>
          <w:color w:val="auto"/>
        </w:rPr>
        <w:t>;</w:t>
      </w:r>
      <w:r w:rsidR="003A2660" w:rsidRPr="002B14B4">
        <w:rPr>
          <w:color w:val="auto"/>
        </w:rPr>
        <w:t xml:space="preserve"> Fonseca et al, 2011</w:t>
      </w:r>
      <w:r w:rsidR="002413CA">
        <w:rPr>
          <w:color w:val="auto"/>
        </w:rPr>
        <w:t>;</w:t>
      </w:r>
      <w:r w:rsidR="003A2660" w:rsidRPr="002B14B4">
        <w:rPr>
          <w:color w:val="auto"/>
        </w:rPr>
        <w:t xml:space="preserve"> Lockwood and Smits, 2011</w:t>
      </w:r>
      <w:r w:rsidR="002413CA">
        <w:rPr>
          <w:color w:val="auto"/>
        </w:rPr>
        <w:t>;</w:t>
      </w:r>
      <w:r w:rsidR="003A2660" w:rsidRPr="002B14B4">
        <w:rPr>
          <w:color w:val="auto"/>
        </w:rPr>
        <w:t xml:space="preserve"> McIntyre et al, 2014</w:t>
      </w:r>
      <w:r w:rsidR="003A2660" w:rsidRPr="002B14B4">
        <w:t xml:space="preserve">), establishing cost-sharing arrangements </w:t>
      </w:r>
      <w:r w:rsidR="00CE027F" w:rsidRPr="002B14B4">
        <w:t>between government and service providers</w:t>
      </w:r>
      <w:r w:rsidR="003A2660" w:rsidRPr="002B14B4">
        <w:t xml:space="preserve"> (Harvey, 2007</w:t>
      </w:r>
      <w:r w:rsidR="002413CA">
        <w:t>;</w:t>
      </w:r>
      <w:r w:rsidR="003A2660" w:rsidRPr="002B14B4">
        <w:t xml:space="preserve"> </w:t>
      </w:r>
      <w:proofErr w:type="spellStart"/>
      <w:r w:rsidR="003A2660" w:rsidRPr="002B14B4">
        <w:t>WaterAid</w:t>
      </w:r>
      <w:proofErr w:type="spellEnd"/>
      <w:r w:rsidR="003A2660" w:rsidRPr="002B14B4">
        <w:t>, 2011</w:t>
      </w:r>
      <w:r w:rsidR="002413CA">
        <w:t>;</w:t>
      </w:r>
      <w:r w:rsidR="003A2660" w:rsidRPr="002B14B4">
        <w:t xml:space="preserve"> </w:t>
      </w:r>
      <w:r w:rsidR="002E6118" w:rsidRPr="002B14B4">
        <w:t>Water Services that Last, 2011)</w:t>
      </w:r>
      <w:r w:rsidR="003A2660" w:rsidRPr="002B14B4">
        <w:t xml:space="preserve"> </w:t>
      </w:r>
      <w:r w:rsidR="003A2660" w:rsidRPr="002B14B4">
        <w:rPr>
          <w:noProof/>
        </w:rPr>
        <w:t>and a supportive enabling environment</w:t>
      </w:r>
      <w:r w:rsidR="009E7121" w:rsidRPr="002B14B4">
        <w:rPr>
          <w:noProof/>
        </w:rPr>
        <w:t xml:space="preserve"> (</w:t>
      </w:r>
      <w:r w:rsidR="009E7121" w:rsidRPr="002B14B4">
        <w:t>de Albuquerque, 2014</w:t>
      </w:r>
      <w:r w:rsidR="002413CA">
        <w:t>;</w:t>
      </w:r>
      <w:r w:rsidR="009E7121" w:rsidRPr="002B14B4">
        <w:t xml:space="preserve"> UN Water, 2014)</w:t>
      </w:r>
      <w:r w:rsidR="003A2660" w:rsidRPr="002B14B4">
        <w:rPr>
          <w:noProof/>
        </w:rPr>
        <w:t xml:space="preserve">. </w:t>
      </w:r>
      <w:r w:rsidR="00F35CB8" w:rsidRPr="002B14B4">
        <w:rPr>
          <w:noProof/>
        </w:rPr>
        <w:t xml:space="preserve">The lessons learned by the sector were </w:t>
      </w:r>
      <w:r w:rsidR="00F35CB8" w:rsidRPr="00443621">
        <w:rPr>
          <w:noProof/>
        </w:rPr>
        <w:t>however</w:t>
      </w:r>
      <w:r w:rsidR="00F35CB8" w:rsidRPr="002B14B4">
        <w:rPr>
          <w:noProof/>
        </w:rPr>
        <w:t xml:space="preserve"> very generalised, presenting a challenge for a study that was specifically interested in the water sector (as opposed to water and/or sanitation and/or hygiene) and rural service provision using small piped water schemes.</w:t>
      </w:r>
    </w:p>
    <w:p w14:paraId="16B91BEE" w14:textId="4C4E5153" w:rsidR="00555EA8" w:rsidRPr="002B14B4" w:rsidRDefault="00F35CB8" w:rsidP="001A2B5A">
      <w:pPr>
        <w:pStyle w:val="WEDC-Bodytext-P2"/>
        <w:rPr>
          <w:noProof/>
        </w:rPr>
      </w:pPr>
      <w:r w:rsidRPr="002B14B4">
        <w:rPr>
          <w:noProof/>
        </w:rPr>
        <w:t xml:space="preserve">Given the specificity of the study, an ex-post evaluation was </w:t>
      </w:r>
      <w:r w:rsidR="00C968A8" w:rsidRPr="002B14B4">
        <w:rPr>
          <w:noProof/>
        </w:rPr>
        <w:t>undertaken</w:t>
      </w:r>
      <w:r w:rsidRPr="002B14B4">
        <w:rPr>
          <w:noProof/>
        </w:rPr>
        <w:t xml:space="preserve"> to help tease out some of the key determinants of sustainability for the context of rural, small piped water sch</w:t>
      </w:r>
      <w:r w:rsidR="0074690A" w:rsidRPr="002B14B4">
        <w:rPr>
          <w:noProof/>
        </w:rPr>
        <w:t>emes in Rwanda. The findings of</w:t>
      </w:r>
      <w:r w:rsidRPr="002B14B4">
        <w:rPr>
          <w:noProof/>
        </w:rPr>
        <w:t xml:space="preserve"> the </w:t>
      </w:r>
      <w:r w:rsidRPr="002B14B4">
        <w:rPr>
          <w:color w:val="auto"/>
        </w:rPr>
        <w:t>literature</w:t>
      </w:r>
      <w:r w:rsidRPr="002B14B4">
        <w:rPr>
          <w:noProof/>
        </w:rPr>
        <w:t xml:space="preserve"> </w:t>
      </w:r>
      <w:r w:rsidR="0074690A" w:rsidRPr="002B14B4">
        <w:rPr>
          <w:noProof/>
        </w:rPr>
        <w:t xml:space="preserve">review </w:t>
      </w:r>
      <w:r w:rsidR="00244144" w:rsidRPr="002B14B4">
        <w:rPr>
          <w:noProof/>
        </w:rPr>
        <w:t>were used to form</w:t>
      </w:r>
      <w:r w:rsidRPr="002B14B4">
        <w:rPr>
          <w:noProof/>
        </w:rPr>
        <w:t xml:space="preserve">ulate a range of evaluation questions which aimed to assess both a service’s quality and likely sustainability. </w:t>
      </w:r>
    </w:p>
    <w:p w14:paraId="3DBB5554" w14:textId="45BC412E" w:rsidR="00F72B29" w:rsidRPr="002B14B4" w:rsidRDefault="00555EA8" w:rsidP="00181704">
      <w:pPr>
        <w:pStyle w:val="WEDC-Bodytext-P2"/>
        <w:rPr>
          <w:noProof/>
          <w:color w:val="auto"/>
        </w:rPr>
      </w:pPr>
      <w:r w:rsidRPr="002B14B4">
        <w:rPr>
          <w:noProof/>
          <w:color w:val="auto"/>
        </w:rPr>
        <w:t xml:space="preserve">The evaluation found </w:t>
      </w:r>
      <w:r w:rsidR="00F72B29" w:rsidRPr="002B14B4">
        <w:rPr>
          <w:noProof/>
          <w:color w:val="auto"/>
        </w:rPr>
        <w:t>a distinct difference in the</w:t>
      </w:r>
      <w:r w:rsidR="00CD34A9">
        <w:rPr>
          <w:noProof/>
          <w:color w:val="auto"/>
        </w:rPr>
        <w:t xml:space="preserve"> performance of the two systems</w:t>
      </w:r>
      <w:r w:rsidR="00CD34A9" w:rsidRPr="00CD34A9">
        <w:rPr>
          <w:noProof/>
          <w:color w:val="auto"/>
          <w:shd w:val="clear" w:color="auto" w:fill="FFFFFF" w:themeFill="background1"/>
        </w:rPr>
        <w:t>;</w:t>
      </w:r>
      <w:r w:rsidR="00F72B29" w:rsidRPr="00CD34A9">
        <w:rPr>
          <w:noProof/>
          <w:color w:val="auto"/>
          <w:shd w:val="clear" w:color="auto" w:fill="FFFFFF" w:themeFill="background1"/>
        </w:rPr>
        <w:t xml:space="preserve"> </w:t>
      </w:r>
      <w:r w:rsidR="00CD34A9" w:rsidRPr="00CD34A9">
        <w:rPr>
          <w:noProof/>
          <w:color w:val="auto"/>
          <w:shd w:val="clear" w:color="auto" w:fill="FFFFFF" w:themeFill="background1"/>
        </w:rPr>
        <w:t>a</w:t>
      </w:r>
      <w:r w:rsidR="00181704" w:rsidRPr="00CD34A9">
        <w:rPr>
          <w:noProof/>
          <w:color w:val="auto"/>
          <w:shd w:val="clear" w:color="auto" w:fill="FFFFFF" w:themeFill="background1"/>
        </w:rPr>
        <w:t xml:space="preserve">ny interruptions to the water supply for the </w:t>
      </w:r>
      <w:r w:rsidR="00F72B29" w:rsidRPr="00CD34A9">
        <w:rPr>
          <w:noProof/>
          <w:color w:val="auto"/>
          <w:shd w:val="clear" w:color="auto" w:fill="FFFFFF" w:themeFill="background1"/>
        </w:rPr>
        <w:t xml:space="preserve">Gisigara District system </w:t>
      </w:r>
      <w:r w:rsidR="00181704" w:rsidRPr="00CD34A9">
        <w:rPr>
          <w:noProof/>
          <w:color w:val="auto"/>
          <w:shd w:val="clear" w:color="auto" w:fill="FFFFFF" w:themeFill="background1"/>
        </w:rPr>
        <w:t>rarely lasted for more than one day, whereas stakeholders reported that the Nyanza District system broke</w:t>
      </w:r>
      <w:r w:rsidR="008C0E60" w:rsidRPr="00CD34A9">
        <w:rPr>
          <w:noProof/>
          <w:color w:val="auto"/>
          <w:shd w:val="clear" w:color="auto" w:fill="FFFFFF" w:themeFill="background1"/>
        </w:rPr>
        <w:t xml:space="preserve"> </w:t>
      </w:r>
      <w:r w:rsidR="00181704" w:rsidRPr="00CD34A9">
        <w:rPr>
          <w:noProof/>
          <w:color w:val="auto"/>
          <w:shd w:val="clear" w:color="auto" w:fill="FFFFFF" w:themeFill="background1"/>
        </w:rPr>
        <w:t>down for more than seven days during the two weeks prior to the evaluation</w:t>
      </w:r>
      <w:r w:rsidR="00CD34A9">
        <w:rPr>
          <w:noProof/>
          <w:color w:val="auto"/>
          <w:shd w:val="clear" w:color="auto" w:fill="FFFFFF" w:themeFill="background1"/>
        </w:rPr>
        <w:t>.</w:t>
      </w:r>
      <w:r w:rsidR="00181704" w:rsidRPr="00CD34A9">
        <w:rPr>
          <w:noProof/>
          <w:color w:val="auto"/>
          <w:shd w:val="clear" w:color="auto" w:fill="FFFFFF" w:themeFill="background1"/>
        </w:rPr>
        <w:t>.</w:t>
      </w:r>
      <w:r w:rsidR="00F85786" w:rsidRPr="00CD34A9">
        <w:rPr>
          <w:noProof/>
          <w:shd w:val="clear" w:color="auto" w:fill="FFFFFF" w:themeFill="background1"/>
          <w:vertAlign w:val="superscript"/>
        </w:rPr>
        <w:t>2</w:t>
      </w:r>
      <w:r w:rsidR="00181704" w:rsidRPr="00CD34A9">
        <w:rPr>
          <w:noProof/>
          <w:color w:val="auto"/>
        </w:rPr>
        <w:t xml:space="preserve"> </w:t>
      </w:r>
      <w:r w:rsidR="00CD34A9">
        <w:rPr>
          <w:noProof/>
          <w:color w:val="auto"/>
        </w:rPr>
        <w:t xml:space="preserve">It was found that the differences in performance were </w:t>
      </w:r>
      <w:r w:rsidR="00CD34A9" w:rsidRPr="002B14B4">
        <w:rPr>
          <w:noProof/>
          <w:color w:val="auto"/>
        </w:rPr>
        <w:t>chiefly attributable to the operational costs associated with the energy source for powering the water pumps (refer Table 1 below)</w:t>
      </w:r>
      <w:r w:rsidR="00CD34A9">
        <w:rPr>
          <w:noProof/>
          <w:color w:val="auto"/>
        </w:rPr>
        <w:t xml:space="preserve">. </w:t>
      </w:r>
      <w:r w:rsidR="00F72B29" w:rsidRPr="00CD34A9">
        <w:rPr>
          <w:noProof/>
          <w:color w:val="auto"/>
        </w:rPr>
        <w:t>The Nyanza District system is running a diesel generator to power the pump, whereas the Gisigara District system has a pump connected to the electricity grid. The cost of diesel</w:t>
      </w:r>
      <w:r w:rsidR="00880B01" w:rsidRPr="00CD34A9">
        <w:rPr>
          <w:noProof/>
          <w:color w:val="auto"/>
        </w:rPr>
        <w:t xml:space="preserve"> and</w:t>
      </w:r>
      <w:r w:rsidR="00F72B29" w:rsidRPr="00CD34A9">
        <w:rPr>
          <w:noProof/>
          <w:color w:val="auto"/>
        </w:rPr>
        <w:t xml:space="preserve"> </w:t>
      </w:r>
      <w:r w:rsidR="00880B01" w:rsidRPr="00CD34A9">
        <w:rPr>
          <w:noProof/>
          <w:color w:val="auto"/>
        </w:rPr>
        <w:t>it’s transportation w</w:t>
      </w:r>
      <w:r w:rsidR="00F72B29" w:rsidRPr="00CD34A9">
        <w:rPr>
          <w:noProof/>
          <w:color w:val="auto"/>
        </w:rPr>
        <w:t xml:space="preserve">as reportedly so high that the service provider in Nyanza often </w:t>
      </w:r>
      <w:r w:rsidR="00F54AE0" w:rsidRPr="00CD34A9">
        <w:rPr>
          <w:noProof/>
          <w:color w:val="auto"/>
        </w:rPr>
        <w:t xml:space="preserve">did not have </w:t>
      </w:r>
      <w:r w:rsidR="00F72B29" w:rsidRPr="00CD34A9">
        <w:rPr>
          <w:noProof/>
          <w:color w:val="auto"/>
        </w:rPr>
        <w:t xml:space="preserve">the required supplies. The evaluation also found that the private provider in Gisigara had arranged a cost sharing agreement with the local </w:t>
      </w:r>
      <w:r w:rsidR="00F72B29" w:rsidRPr="00CD34A9">
        <w:rPr>
          <w:noProof/>
        </w:rPr>
        <w:t>government</w:t>
      </w:r>
      <w:r w:rsidR="00F72B29" w:rsidRPr="00CD34A9">
        <w:rPr>
          <w:noProof/>
          <w:color w:val="auto"/>
        </w:rPr>
        <w:t xml:space="preserve">, whereby maintenance and repair costs exceeding 200,000 Rwandan Francs (RWF) </w:t>
      </w:r>
      <w:r w:rsidR="00880B01" w:rsidRPr="00CD34A9">
        <w:rPr>
          <w:noProof/>
          <w:color w:val="auto"/>
        </w:rPr>
        <w:t xml:space="preserve">(equivelent to 290 United States Dollars (USD)) </w:t>
      </w:r>
      <w:r w:rsidR="00F72B29" w:rsidRPr="00CD34A9">
        <w:rPr>
          <w:noProof/>
          <w:color w:val="auto"/>
        </w:rPr>
        <w:t>would be covered by the district. No such arrangement was in place with the Nyanza system</w:t>
      </w:r>
      <w:r w:rsidR="00181704" w:rsidRPr="00CD34A9">
        <w:rPr>
          <w:noProof/>
          <w:color w:val="auto"/>
        </w:rPr>
        <w:t>, which was managed by a community committee</w:t>
      </w:r>
      <w:r w:rsidR="00F72B29" w:rsidRPr="00CD34A9">
        <w:rPr>
          <w:noProof/>
          <w:color w:val="auto"/>
        </w:rPr>
        <w:t>.</w:t>
      </w:r>
    </w:p>
    <w:p w14:paraId="72FC1898" w14:textId="56C54C09" w:rsidR="00DC03FE" w:rsidRPr="002B14B4" w:rsidRDefault="00F35CB8" w:rsidP="00FA5A8F">
      <w:pPr>
        <w:pStyle w:val="WEDC-Bodytext-P2"/>
        <w:spacing w:after="120"/>
      </w:pPr>
      <w:r w:rsidRPr="002B14B4">
        <w:rPr>
          <w:noProof/>
        </w:rPr>
        <w:t>The findings of the evaluation indicated that three variables may have a significant influence over service sustainability, as follows:</w:t>
      </w:r>
    </w:p>
    <w:p w14:paraId="5A0B0593" w14:textId="44FB2FE0" w:rsidR="00A04773" w:rsidRPr="002B14B4" w:rsidRDefault="00E16854" w:rsidP="00E16854">
      <w:pPr>
        <w:pStyle w:val="WEDC-Bodytextindented"/>
        <w:tabs>
          <w:tab w:val="clear" w:pos="170"/>
          <w:tab w:val="clear" w:pos="360"/>
          <w:tab w:val="left" w:pos="340"/>
        </w:tabs>
        <w:spacing w:after="120"/>
      </w:pPr>
      <w:r w:rsidRPr="002B14B4">
        <w:t xml:space="preserve">The </w:t>
      </w:r>
      <w:r w:rsidR="00A04773" w:rsidRPr="002B14B4">
        <w:t>Source of Energy for Conveying Water</w:t>
      </w:r>
    </w:p>
    <w:p w14:paraId="73E1C57F" w14:textId="6FD04FBC" w:rsidR="00A04773" w:rsidRPr="002B14B4" w:rsidRDefault="00DB7102" w:rsidP="00680494">
      <w:pPr>
        <w:pStyle w:val="WEDC-Bodytext-P2"/>
        <w:rPr>
          <w:noProof/>
        </w:rPr>
      </w:pPr>
      <w:r w:rsidRPr="002B14B4">
        <w:rPr>
          <w:noProof/>
        </w:rPr>
        <w:t>The ex-post evaluation found that the source of energy for conveying water through a system was the main cost driver for water tariffs. In the case of the community managed service in Nyanza District, the system relied on a diesel generator to power the w</w:t>
      </w:r>
      <w:r w:rsidR="007277BA" w:rsidRPr="002B14B4">
        <w:rPr>
          <w:noProof/>
        </w:rPr>
        <w:t xml:space="preserve">ater pump, with a tariff </w:t>
      </w:r>
      <w:r w:rsidR="007277BA" w:rsidRPr="00AC1259">
        <w:rPr>
          <w:noProof/>
        </w:rPr>
        <w:t>of RWF3</w:t>
      </w:r>
      <w:r w:rsidRPr="00AC1259">
        <w:rPr>
          <w:noProof/>
        </w:rPr>
        <w:t>0</w:t>
      </w:r>
      <w:r w:rsidRPr="002B14B4">
        <w:rPr>
          <w:noProof/>
        </w:rPr>
        <w:t xml:space="preserve"> </w:t>
      </w:r>
      <w:r w:rsidR="00AC1259">
        <w:rPr>
          <w:noProof/>
        </w:rPr>
        <w:t xml:space="preserve">(roughly US 0.40 cents) </w:t>
      </w:r>
      <w:r w:rsidRPr="002B14B4">
        <w:rPr>
          <w:noProof/>
        </w:rPr>
        <w:t>per 20 litre jerry can at public water points. By contrast, the privately managed service in Gisigara District relied on electricity from the main grid to power a wa</w:t>
      </w:r>
      <w:r w:rsidR="007277BA" w:rsidRPr="002B14B4">
        <w:rPr>
          <w:noProof/>
        </w:rPr>
        <w:t>ter pump, with a tariff of RWF15</w:t>
      </w:r>
      <w:r w:rsidRPr="002B14B4">
        <w:rPr>
          <w:noProof/>
        </w:rPr>
        <w:t xml:space="preserve"> </w:t>
      </w:r>
      <w:r w:rsidR="00AC1259">
        <w:rPr>
          <w:noProof/>
        </w:rPr>
        <w:t xml:space="preserve">(roughly US 0.20 cents) </w:t>
      </w:r>
      <w:r w:rsidRPr="002B14B4">
        <w:rPr>
          <w:noProof/>
        </w:rPr>
        <w:t xml:space="preserve">per 20 litre </w:t>
      </w:r>
      <w:r w:rsidR="001A2B5A" w:rsidRPr="002B14B4">
        <w:rPr>
          <w:noProof/>
        </w:rPr>
        <w:t xml:space="preserve">jerry </w:t>
      </w:r>
      <w:r w:rsidRPr="002B14B4">
        <w:rPr>
          <w:noProof/>
        </w:rPr>
        <w:t xml:space="preserve">can at public water points. Both </w:t>
      </w:r>
      <w:r w:rsidRPr="002B14B4">
        <w:rPr>
          <w:noProof/>
          <w:color w:val="auto"/>
        </w:rPr>
        <w:t>service</w:t>
      </w:r>
      <w:r w:rsidRPr="002B14B4">
        <w:rPr>
          <w:noProof/>
        </w:rPr>
        <w:t xml:space="preserve"> providers explained that the source of energy for conveying water was the deciding factor </w:t>
      </w:r>
      <w:r w:rsidR="00166EAE" w:rsidRPr="002B14B4">
        <w:rPr>
          <w:noProof/>
        </w:rPr>
        <w:t>for</w:t>
      </w:r>
      <w:r w:rsidRPr="002B14B4">
        <w:rPr>
          <w:noProof/>
        </w:rPr>
        <w:t xml:space="preserve"> the price </w:t>
      </w:r>
      <w:r w:rsidR="008C0E60">
        <w:rPr>
          <w:noProof/>
        </w:rPr>
        <w:t>o</w:t>
      </w:r>
      <w:r w:rsidRPr="002B14B4">
        <w:rPr>
          <w:noProof/>
        </w:rPr>
        <w:t xml:space="preserve">f the water tariff, with diesel costing more than electricity over time. </w:t>
      </w:r>
    </w:p>
    <w:p w14:paraId="11BEDA5C" w14:textId="102C328B" w:rsidR="00FE0650" w:rsidRPr="002B14B4" w:rsidRDefault="007277BA" w:rsidP="004C0A5A">
      <w:pPr>
        <w:pStyle w:val="WEDC-Bodytext-P2"/>
        <w:rPr>
          <w:noProof/>
        </w:rPr>
      </w:pPr>
      <w:r w:rsidRPr="002B14B4">
        <w:rPr>
          <w:noProof/>
        </w:rPr>
        <w:t>The high cost of diesel, which is imported into Rwanda, was cited as the reason the community management committee in Nyanza could not cover the cost of provid</w:t>
      </w:r>
      <w:r w:rsidR="00166EAE" w:rsidRPr="002B14B4">
        <w:rPr>
          <w:noProof/>
        </w:rPr>
        <w:t>ing a reliable supply of water.</w:t>
      </w:r>
      <w:r w:rsidR="004C0A5A" w:rsidRPr="002B14B4">
        <w:rPr>
          <w:noProof/>
        </w:rPr>
        <w:t xml:space="preserve"> </w:t>
      </w:r>
      <w:r w:rsidR="005D3917">
        <w:rPr>
          <w:noProof/>
        </w:rPr>
        <w:t xml:space="preserve">The committee could increase the water tariff to better cover the costs; however, </w:t>
      </w:r>
      <w:r w:rsidR="00CB4462" w:rsidRPr="002B14B4">
        <w:rPr>
          <w:noProof/>
        </w:rPr>
        <w:t xml:space="preserve">focus group participants assigned the </w:t>
      </w:r>
      <w:r w:rsidR="002E6C22">
        <w:rPr>
          <w:noProof/>
        </w:rPr>
        <w:t xml:space="preserve">current </w:t>
      </w:r>
      <w:r w:rsidR="00CB4462" w:rsidRPr="002B14B4">
        <w:rPr>
          <w:noProof/>
        </w:rPr>
        <w:t xml:space="preserve">price of the water tariff an average rating of </w:t>
      </w:r>
      <w:r w:rsidR="00D13C6A" w:rsidRPr="002B14B4">
        <w:rPr>
          <w:noProof/>
        </w:rPr>
        <w:t>2.2</w:t>
      </w:r>
      <w:r w:rsidR="00CB4462" w:rsidRPr="002B14B4">
        <w:rPr>
          <w:noProof/>
        </w:rPr>
        <w:t xml:space="preserve"> out of 5, indicating that consumers considered </w:t>
      </w:r>
      <w:r w:rsidR="00AC1259">
        <w:rPr>
          <w:noProof/>
        </w:rPr>
        <w:t>RWF</w:t>
      </w:r>
      <w:r w:rsidR="00CB4462" w:rsidRPr="00AC1259">
        <w:rPr>
          <w:noProof/>
        </w:rPr>
        <w:t>30</w:t>
      </w:r>
      <w:r w:rsidR="00CB4462" w:rsidRPr="002B14B4">
        <w:rPr>
          <w:noProof/>
        </w:rPr>
        <w:t xml:space="preserve"> per jerry can to be expensive (1 meant “It is expensive”, 5 meant “It is cheap”). </w:t>
      </w:r>
      <w:r w:rsidR="004A2702" w:rsidRPr="002B14B4">
        <w:rPr>
          <w:noProof/>
        </w:rPr>
        <w:t xml:space="preserve">The findings from the ex-post evaluation warranted further investigation and </w:t>
      </w:r>
      <w:r w:rsidR="00680494" w:rsidRPr="002B14B4">
        <w:rPr>
          <w:noProof/>
        </w:rPr>
        <w:t>raised</w:t>
      </w:r>
      <w:r w:rsidR="004A2702" w:rsidRPr="002B14B4">
        <w:rPr>
          <w:noProof/>
        </w:rPr>
        <w:t xml:space="preserve"> </w:t>
      </w:r>
      <w:r w:rsidR="00680494" w:rsidRPr="002B14B4">
        <w:rPr>
          <w:noProof/>
        </w:rPr>
        <w:t>several</w:t>
      </w:r>
      <w:r w:rsidR="004A2702" w:rsidRPr="002B14B4">
        <w:rPr>
          <w:noProof/>
        </w:rPr>
        <w:t xml:space="preserve"> </w:t>
      </w:r>
      <w:r w:rsidR="001A2B5A" w:rsidRPr="002B14B4">
        <w:rPr>
          <w:noProof/>
        </w:rPr>
        <w:t>question</w:t>
      </w:r>
      <w:r w:rsidR="00680494" w:rsidRPr="002B14B4">
        <w:rPr>
          <w:noProof/>
        </w:rPr>
        <w:t>s</w:t>
      </w:r>
      <w:r w:rsidR="004A2702" w:rsidRPr="002B14B4">
        <w:rPr>
          <w:noProof/>
        </w:rPr>
        <w:t xml:space="preserve"> for step three of the study: </w:t>
      </w:r>
      <w:r w:rsidR="001A2B5A" w:rsidRPr="002B14B4">
        <w:rPr>
          <w:noProof/>
        </w:rPr>
        <w:t>do different energy sources lead to higher operating costs and consequently, higher tariffs?</w:t>
      </w:r>
      <w:r w:rsidR="00CB4462" w:rsidRPr="002B14B4">
        <w:rPr>
          <w:noProof/>
        </w:rPr>
        <w:t xml:space="preserve"> Furthermore, do higher tariffs reduce demand for the service?</w:t>
      </w:r>
    </w:p>
    <w:p w14:paraId="6A7F49C1" w14:textId="77777777" w:rsidR="00CD34A9" w:rsidRPr="002B14B4" w:rsidRDefault="00CD34A9" w:rsidP="00CD34A9">
      <w:pPr>
        <w:pStyle w:val="WEDC-Bodytextindented"/>
        <w:tabs>
          <w:tab w:val="clear" w:pos="170"/>
          <w:tab w:val="clear" w:pos="360"/>
          <w:tab w:val="left" w:pos="340"/>
        </w:tabs>
        <w:spacing w:after="120"/>
        <w:rPr>
          <w:rFonts w:ascii="Cambria" w:eastAsia="Cambria" w:hAnsi="Cambria" w:cs="Cambria"/>
          <w:iCs/>
        </w:rPr>
      </w:pPr>
      <w:r w:rsidRPr="002B14B4">
        <w:lastRenderedPageBreak/>
        <w:t>Importance of Support from Local Government</w:t>
      </w:r>
    </w:p>
    <w:p w14:paraId="3A44550B" w14:textId="3F482C93" w:rsidR="00CD34A9" w:rsidRDefault="00CD34A9" w:rsidP="00CD34A9">
      <w:pPr>
        <w:pStyle w:val="WEDC-Bodytext-P2"/>
        <w:spacing w:after="120"/>
        <w:rPr>
          <w:noProof/>
        </w:rPr>
      </w:pPr>
      <w:r w:rsidRPr="002B14B4">
        <w:rPr>
          <w:noProof/>
        </w:rPr>
        <w:t>The literature suggests that technical support (WaterAid, 2011) and financial subsidies (Harvey, 2007</w:t>
      </w:r>
      <w:r>
        <w:rPr>
          <w:noProof/>
        </w:rPr>
        <w:t>;</w:t>
      </w:r>
      <w:r w:rsidRPr="002B14B4">
        <w:rPr>
          <w:noProof/>
        </w:rPr>
        <w:t xml:space="preserve"> AfDB, 2010) can help ensure that service providers are able to manage complex repairs and fund expensive costs over a system’s lifecycle. The ex-post evaluation indicated that this was important – a community managed service operating without any government support was having difficulty covering the basic costs of operating the system. </w:t>
      </w:r>
      <w:r>
        <w:rPr>
          <w:noProof/>
        </w:rPr>
        <w:t xml:space="preserve">It is likely </w:t>
      </w:r>
      <w:r w:rsidRPr="002B14B4">
        <w:rPr>
          <w:noProof/>
        </w:rPr>
        <w:t xml:space="preserve">that the committee would have difficulty covering the costs of a major breakdown. </w:t>
      </w:r>
      <w:r w:rsidRPr="00443621">
        <w:rPr>
          <w:noProof/>
        </w:rPr>
        <w:t>By contrast</w:t>
      </w:r>
      <w:r w:rsidRPr="002B14B4">
        <w:rPr>
          <w:noProof/>
        </w:rPr>
        <w:t xml:space="preserve">, a private operator had an agreement in place with the local government, whereby costs in excess of 200,000 RWF </w:t>
      </w:r>
      <w:r>
        <w:rPr>
          <w:noProof/>
        </w:rPr>
        <w:t xml:space="preserve">(approximately US$ 280) </w:t>
      </w:r>
      <w:r w:rsidRPr="002B14B4">
        <w:rPr>
          <w:noProof/>
        </w:rPr>
        <w:t xml:space="preserve">would be covered by the district. </w:t>
      </w:r>
      <w:r>
        <w:rPr>
          <w:noProof/>
        </w:rPr>
        <w:t>The question of</w:t>
      </w:r>
      <w:r w:rsidRPr="002B14B4">
        <w:rPr>
          <w:noProof/>
        </w:rPr>
        <w:t xml:space="preserve"> whether support from local government could be a major factor that explains the differences in sustainability between systems</w:t>
      </w:r>
      <w:r>
        <w:rPr>
          <w:noProof/>
        </w:rPr>
        <w:t xml:space="preserve"> was added to the study</w:t>
      </w:r>
      <w:r w:rsidRPr="002B14B4">
        <w:rPr>
          <w:noProof/>
        </w:rPr>
        <w:t>.</w:t>
      </w:r>
    </w:p>
    <w:p w14:paraId="59939387" w14:textId="151A4078" w:rsidR="00A04773" w:rsidRPr="002B14B4" w:rsidRDefault="00E16854" w:rsidP="004C0A5A">
      <w:pPr>
        <w:pStyle w:val="WEDC-Bodytextindented"/>
        <w:tabs>
          <w:tab w:val="clear" w:pos="170"/>
          <w:tab w:val="clear" w:pos="360"/>
          <w:tab w:val="left" w:pos="340"/>
        </w:tabs>
        <w:spacing w:before="120" w:after="120"/>
      </w:pPr>
      <w:r w:rsidRPr="002B14B4">
        <w:t xml:space="preserve">The </w:t>
      </w:r>
      <w:r w:rsidR="00A04773" w:rsidRPr="002B14B4">
        <w:t>Model of Service Provision</w:t>
      </w:r>
    </w:p>
    <w:p w14:paraId="6B1DA10E" w14:textId="28C0929D" w:rsidR="00107D33" w:rsidRPr="002B14B4" w:rsidRDefault="002E6C22" w:rsidP="00E16854">
      <w:pPr>
        <w:pStyle w:val="WEDC-Bodytext-P2"/>
      </w:pPr>
      <w:r>
        <w:rPr>
          <w:noProof/>
        </w:rPr>
        <w:t xml:space="preserve">The third variable of interest concerned the different types of service provision models that are supported in Rwanda. </w:t>
      </w:r>
      <w:r w:rsidR="00107D33" w:rsidRPr="002B14B4">
        <w:rPr>
          <w:noProof/>
        </w:rPr>
        <w:t xml:space="preserve">As </w:t>
      </w:r>
      <w:r w:rsidR="005070D4">
        <w:rPr>
          <w:noProof/>
        </w:rPr>
        <w:t>previously</w:t>
      </w:r>
      <w:r w:rsidR="00880B01">
        <w:rPr>
          <w:noProof/>
        </w:rPr>
        <w:t xml:space="preserve"> </w:t>
      </w:r>
      <w:r w:rsidR="00107D33" w:rsidRPr="002B14B4">
        <w:rPr>
          <w:noProof/>
        </w:rPr>
        <w:t xml:space="preserve">mentioned, the two common service provision models for managing services </w:t>
      </w:r>
      <w:r w:rsidR="00584ED0" w:rsidRPr="002B14B4">
        <w:rPr>
          <w:noProof/>
        </w:rPr>
        <w:t>within</w:t>
      </w:r>
      <w:r w:rsidR="00107D33" w:rsidRPr="002B14B4">
        <w:rPr>
          <w:noProof/>
        </w:rPr>
        <w:t xml:space="preserve"> district boundaries are community management </w:t>
      </w:r>
      <w:r w:rsidR="00416E6B" w:rsidRPr="002B14B4">
        <w:rPr>
          <w:noProof/>
        </w:rPr>
        <w:t xml:space="preserve">committees </w:t>
      </w:r>
      <w:r w:rsidR="00107D33" w:rsidRPr="002B14B4">
        <w:rPr>
          <w:noProof/>
        </w:rPr>
        <w:t>and private operators. The challenges for the former are well known</w:t>
      </w:r>
      <w:r w:rsidR="00845528">
        <w:rPr>
          <w:noProof/>
        </w:rPr>
        <w:t>;</w:t>
      </w:r>
      <w:r w:rsidR="00107D33" w:rsidRPr="002B14B4">
        <w:rPr>
          <w:noProof/>
        </w:rPr>
        <w:t xml:space="preserve"> however</w:t>
      </w:r>
      <w:r w:rsidR="00845528">
        <w:rPr>
          <w:noProof/>
        </w:rPr>
        <w:t>,</w:t>
      </w:r>
      <w:r w:rsidR="00107D33" w:rsidRPr="002B14B4">
        <w:rPr>
          <w:noProof/>
        </w:rPr>
        <w:t xml:space="preserve"> the evidence base for the latter is still developing. There are indications that the private sector can be a more effective management option; </w:t>
      </w:r>
      <w:r w:rsidR="00107D33" w:rsidRPr="002B14B4">
        <w:t xml:space="preserve">reviews of private operator performance indicate better performance in terms of responding to breakdowns and ongoing system functionality </w:t>
      </w:r>
      <w:r w:rsidR="00E16854" w:rsidRPr="002B14B4">
        <w:t>(</w:t>
      </w:r>
      <w:proofErr w:type="spellStart"/>
      <w:r w:rsidR="00E16854" w:rsidRPr="002B14B4">
        <w:t>Kleemeier</w:t>
      </w:r>
      <w:proofErr w:type="spellEnd"/>
      <w:r w:rsidR="00E16854" w:rsidRPr="002B14B4">
        <w:t xml:space="preserve"> and </w:t>
      </w:r>
      <w:proofErr w:type="spellStart"/>
      <w:r w:rsidR="00E16854" w:rsidRPr="002B14B4">
        <w:t>Narkevic</w:t>
      </w:r>
      <w:proofErr w:type="spellEnd"/>
      <w:r w:rsidR="00E16854" w:rsidRPr="002B14B4">
        <w:t>, 2010).</w:t>
      </w:r>
      <w:r>
        <w:t xml:space="preserve"> </w:t>
      </w:r>
    </w:p>
    <w:p w14:paraId="1A3C599B" w14:textId="641B4A62" w:rsidR="00E16854" w:rsidRPr="002B14B4" w:rsidRDefault="00E16854" w:rsidP="00107D33">
      <w:pPr>
        <w:pStyle w:val="WEDC-Bodytext-P2"/>
        <w:spacing w:after="120"/>
        <w:rPr>
          <w:noProof/>
        </w:rPr>
      </w:pPr>
      <w:r w:rsidRPr="002B14B4">
        <w:t xml:space="preserve">The two systems covered by the ex-post evaluation indicated that there might be cause to compare systems with different service provider models. The Nyanza System was failing to provide a reliable supply of water, in part because of the cost of diesel, but </w:t>
      </w:r>
      <w:r w:rsidRPr="008A26F0">
        <w:t>potentially</w:t>
      </w:r>
      <w:r w:rsidRPr="002B14B4">
        <w:t xml:space="preserve"> due to planning issues and limited sources of revenue</w:t>
      </w:r>
      <w:r w:rsidR="006C74A5" w:rsidRPr="002B14B4">
        <w:t xml:space="preserve"> (the committee could only raise </w:t>
      </w:r>
      <w:r w:rsidR="00DC0146" w:rsidRPr="002B14B4">
        <w:t>revenue</w:t>
      </w:r>
      <w:r w:rsidR="006C74A5" w:rsidRPr="002B14B4">
        <w:t xml:space="preserve"> from one system)</w:t>
      </w:r>
      <w:r w:rsidRPr="002B14B4">
        <w:t xml:space="preserve">. </w:t>
      </w:r>
      <w:r w:rsidR="003C64CE" w:rsidRPr="002B14B4">
        <w:t>Conversely, t</w:t>
      </w:r>
      <w:r w:rsidRPr="002B14B4">
        <w:t xml:space="preserve">he </w:t>
      </w:r>
      <w:r w:rsidR="003C64CE" w:rsidRPr="002B14B4">
        <w:t xml:space="preserve">company managing the </w:t>
      </w:r>
      <w:proofErr w:type="spellStart"/>
      <w:r w:rsidR="003C64CE" w:rsidRPr="002B14B4">
        <w:t>Gisigara</w:t>
      </w:r>
      <w:proofErr w:type="spellEnd"/>
      <w:r w:rsidR="003C64CE" w:rsidRPr="002B14B4">
        <w:t xml:space="preserve"> s</w:t>
      </w:r>
      <w:r w:rsidRPr="002B14B4">
        <w:t xml:space="preserve">ystem was </w:t>
      </w:r>
      <w:r w:rsidR="003239BD" w:rsidRPr="002B14B4">
        <w:t>responsible for</w:t>
      </w:r>
      <w:r w:rsidR="006C74A5" w:rsidRPr="002B14B4">
        <w:t xml:space="preserve"> </w:t>
      </w:r>
      <w:r w:rsidR="002E6C22">
        <w:t>seven</w:t>
      </w:r>
      <w:r w:rsidR="002E6C22" w:rsidRPr="002B14B4">
        <w:t xml:space="preserve"> </w:t>
      </w:r>
      <w:r w:rsidR="003239BD" w:rsidRPr="002B14B4">
        <w:t xml:space="preserve">water </w:t>
      </w:r>
      <w:r w:rsidR="006C74A5" w:rsidRPr="002B14B4">
        <w:t xml:space="preserve">systems </w:t>
      </w:r>
      <w:r w:rsidRPr="002B14B4">
        <w:t xml:space="preserve">and </w:t>
      </w:r>
      <w:r w:rsidR="003239BD" w:rsidRPr="002B14B4">
        <w:t>the water supply</w:t>
      </w:r>
      <w:r w:rsidR="003C64CE" w:rsidRPr="002B14B4">
        <w:t xml:space="preserve"> for the </w:t>
      </w:r>
      <w:proofErr w:type="spellStart"/>
      <w:r w:rsidR="003C64CE" w:rsidRPr="002B14B4">
        <w:t>Gisigara</w:t>
      </w:r>
      <w:proofErr w:type="spellEnd"/>
      <w:r w:rsidR="003C64CE" w:rsidRPr="002B14B4">
        <w:t xml:space="preserve"> system</w:t>
      </w:r>
      <w:r w:rsidR="003239BD" w:rsidRPr="002B14B4">
        <w:t xml:space="preserve"> was reliable</w:t>
      </w:r>
      <w:r w:rsidRPr="002B14B4">
        <w:t xml:space="preserve">. </w:t>
      </w:r>
      <w:r w:rsidR="00C51115" w:rsidRPr="002B14B4">
        <w:t xml:space="preserve">Conversations with the </w:t>
      </w:r>
      <w:proofErr w:type="spellStart"/>
      <w:r w:rsidR="00C51115" w:rsidRPr="008A26F0">
        <w:t>Egipres</w:t>
      </w:r>
      <w:proofErr w:type="spellEnd"/>
      <w:r w:rsidR="00C51115" w:rsidRPr="008A26F0">
        <w:t xml:space="preserve"> Company</w:t>
      </w:r>
      <w:r w:rsidR="00C51115" w:rsidRPr="002B14B4">
        <w:t xml:space="preserve"> indicated that managing multiple systems provided surplus funding to cover the losses on </w:t>
      </w:r>
      <w:r w:rsidR="005070D4">
        <w:t>other</w:t>
      </w:r>
      <w:r w:rsidR="00C51115" w:rsidRPr="002B14B4">
        <w:t xml:space="preserve"> system</w:t>
      </w:r>
      <w:r w:rsidR="005070D4">
        <w:t>s</w:t>
      </w:r>
      <w:r w:rsidR="00C51115" w:rsidRPr="002B14B4">
        <w:t xml:space="preserve"> in</w:t>
      </w:r>
      <w:r w:rsidR="00880B01">
        <w:t xml:space="preserve"> their portfolio in</w:t>
      </w:r>
      <w:r w:rsidR="00C51115" w:rsidRPr="002B14B4">
        <w:t xml:space="preserve"> a given year. </w:t>
      </w:r>
      <w:r w:rsidR="00D3421E" w:rsidRPr="002B14B4">
        <w:t xml:space="preserve">Although the energy source was a factor in the reliability of supply, </w:t>
      </w:r>
      <w:r w:rsidR="00857AB6">
        <w:t xml:space="preserve">it was decided that </w:t>
      </w:r>
      <w:r w:rsidR="008A26F0">
        <w:t xml:space="preserve">the study </w:t>
      </w:r>
      <w:r w:rsidR="00857AB6">
        <w:t>should also explore</w:t>
      </w:r>
      <w:r w:rsidRPr="002B14B4">
        <w:t xml:space="preserve"> whether private operators would generally prove to be more </w:t>
      </w:r>
      <w:r w:rsidR="00D3421E" w:rsidRPr="002B14B4">
        <w:t>efficient</w:t>
      </w:r>
      <w:r w:rsidRPr="002B14B4">
        <w:t xml:space="preserve"> than community management committees.</w:t>
      </w:r>
    </w:p>
    <w:p w14:paraId="253C339D" w14:textId="531954CA" w:rsidR="00E16854" w:rsidRPr="002B14B4" w:rsidRDefault="00E16854" w:rsidP="00C318E5">
      <w:pPr>
        <w:pStyle w:val="Heading1"/>
      </w:pPr>
      <w:r w:rsidRPr="002B14B4">
        <w:t>Review of Additional Systems</w:t>
      </w:r>
      <w:r w:rsidR="00D3421E" w:rsidRPr="002B14B4">
        <w:t xml:space="preserve"> </w:t>
      </w:r>
    </w:p>
    <w:p w14:paraId="4C11A02C" w14:textId="7CB7C846" w:rsidR="00C318E5" w:rsidRPr="002B14B4" w:rsidRDefault="00E16854" w:rsidP="004A1970">
      <w:pPr>
        <w:pStyle w:val="WEDC-Bodytext-P2"/>
        <w:ind w:firstLine="0"/>
        <w:rPr>
          <w:bCs/>
        </w:rPr>
      </w:pPr>
      <w:r w:rsidRPr="002B14B4">
        <w:rPr>
          <w:noProof/>
        </w:rPr>
        <w:t>The</w:t>
      </w:r>
      <w:r w:rsidR="00ED43CD" w:rsidRPr="002B14B4">
        <w:rPr>
          <w:noProof/>
        </w:rPr>
        <w:t xml:space="preserve"> third step of the</w:t>
      </w:r>
      <w:r w:rsidR="00303826" w:rsidRPr="002B14B4">
        <w:rPr>
          <w:noProof/>
        </w:rPr>
        <w:t xml:space="preserve"> study sought to gather more data by reviewing another six rural, small piped water schemes in Rwanda. </w:t>
      </w:r>
      <w:r w:rsidR="00C318E5" w:rsidRPr="002B14B4">
        <w:rPr>
          <w:noProof/>
        </w:rPr>
        <w:t xml:space="preserve">This step </w:t>
      </w:r>
      <w:r w:rsidR="005070D4">
        <w:rPr>
          <w:noProof/>
        </w:rPr>
        <w:t>was more limited in</w:t>
      </w:r>
      <w:r w:rsidR="00C318E5" w:rsidRPr="002B14B4">
        <w:rPr>
          <w:noProof/>
        </w:rPr>
        <w:t xml:space="preserve"> scope than the ex-post evaluation. A modified framework was </w:t>
      </w:r>
      <w:r w:rsidR="00C318E5" w:rsidRPr="008A26F0">
        <w:rPr>
          <w:noProof/>
        </w:rPr>
        <w:t>therefore</w:t>
      </w:r>
      <w:r w:rsidR="00C318E5" w:rsidRPr="002B14B4">
        <w:rPr>
          <w:noProof/>
        </w:rPr>
        <w:t xml:space="preserve"> developed, composed of five components: </w:t>
      </w:r>
      <w:r w:rsidR="00C318E5" w:rsidRPr="002B14B4">
        <w:rPr>
          <w:bCs/>
          <w:color w:val="auto"/>
        </w:rPr>
        <w:t xml:space="preserve">Functionality, System, Service Quality, Service Provider and Local Enabling Environment. The assumption was that the status of a system’s functionality (whether fully functional or not) could be explained by the information gathered on the system’s characteristics, the service quality, the characteristics of the service provider model and the extent to which the local enabling environment could be considered supportive. A list of </w:t>
      </w:r>
      <w:r w:rsidR="008A26F0">
        <w:rPr>
          <w:bCs/>
          <w:color w:val="auto"/>
        </w:rPr>
        <w:t>two</w:t>
      </w:r>
      <w:r w:rsidR="008A26F0" w:rsidRPr="002B14B4">
        <w:rPr>
          <w:bCs/>
          <w:color w:val="auto"/>
        </w:rPr>
        <w:t xml:space="preserve"> </w:t>
      </w:r>
      <w:r w:rsidR="00C318E5" w:rsidRPr="002B14B4">
        <w:rPr>
          <w:bCs/>
          <w:color w:val="auto"/>
        </w:rPr>
        <w:t xml:space="preserve">to </w:t>
      </w:r>
      <w:r w:rsidR="004557E1">
        <w:rPr>
          <w:bCs/>
          <w:color w:val="auto"/>
        </w:rPr>
        <w:t>ten</w:t>
      </w:r>
      <w:r w:rsidR="004557E1" w:rsidRPr="002B14B4">
        <w:rPr>
          <w:bCs/>
          <w:color w:val="auto"/>
        </w:rPr>
        <w:t xml:space="preserve"> </w:t>
      </w:r>
      <w:r w:rsidR="00C318E5" w:rsidRPr="002B14B4">
        <w:rPr>
          <w:bCs/>
          <w:color w:val="auto"/>
        </w:rPr>
        <w:t xml:space="preserve">indicators was prepared for each component. Each indicator was chosen </w:t>
      </w:r>
      <w:r w:rsidR="00BF47CF">
        <w:rPr>
          <w:bCs/>
          <w:color w:val="auto"/>
        </w:rPr>
        <w:t>according to</w:t>
      </w:r>
      <w:r w:rsidR="00C318E5" w:rsidRPr="002B14B4">
        <w:rPr>
          <w:bCs/>
          <w:color w:val="auto"/>
        </w:rPr>
        <w:t xml:space="preserve"> whether it was </w:t>
      </w:r>
      <w:r w:rsidR="00C318E5" w:rsidRPr="002B14B4">
        <w:t xml:space="preserve">directly relevant to sustainability, based on the literature review of issues underlying the sustainability of rural water supply services, and whether the indicator was easy to assess in terms of measurability and </w:t>
      </w:r>
      <w:r w:rsidR="004557E1">
        <w:t xml:space="preserve">the </w:t>
      </w:r>
      <w:r w:rsidR="00C318E5" w:rsidRPr="002B14B4">
        <w:t>time taken to collect data.</w:t>
      </w:r>
    </w:p>
    <w:p w14:paraId="6A81EBDA" w14:textId="02D56F1A" w:rsidR="00042BF7" w:rsidRPr="002B14B4" w:rsidRDefault="00DC0146" w:rsidP="00395635">
      <w:pPr>
        <w:pStyle w:val="WEDC-Bodytext-P2"/>
      </w:pPr>
      <w:r w:rsidRPr="002B14B4">
        <w:rPr>
          <w:bCs/>
        </w:rPr>
        <w:t>In light of the questions raised by the ex-post evaluation, t</w:t>
      </w:r>
      <w:r w:rsidR="00171217" w:rsidRPr="002B14B4">
        <w:rPr>
          <w:bCs/>
        </w:rPr>
        <w:t xml:space="preserve">he sample method aimed to select a mix of systems across different districts, with different </w:t>
      </w:r>
      <w:r w:rsidR="00010E29" w:rsidRPr="002B14B4">
        <w:rPr>
          <w:bCs/>
        </w:rPr>
        <w:t>sources of energy and different</w:t>
      </w:r>
      <w:r w:rsidRPr="002B14B4">
        <w:rPr>
          <w:bCs/>
        </w:rPr>
        <w:t xml:space="preserve"> service provision models. </w:t>
      </w:r>
      <w:r w:rsidR="00171217" w:rsidRPr="002B14B4">
        <w:rPr>
          <w:bCs/>
        </w:rPr>
        <w:t xml:space="preserve">The study aimed to review six systems in addition to the </w:t>
      </w:r>
      <w:r w:rsidR="004F00E5" w:rsidRPr="002B14B4">
        <w:rPr>
          <w:bCs/>
        </w:rPr>
        <w:t>two</w:t>
      </w:r>
      <w:r w:rsidRPr="002B14B4">
        <w:rPr>
          <w:bCs/>
        </w:rPr>
        <w:t xml:space="preserve"> </w:t>
      </w:r>
      <w:r w:rsidR="00171217" w:rsidRPr="002B14B4">
        <w:rPr>
          <w:bCs/>
        </w:rPr>
        <w:t xml:space="preserve">ex-post evaluation systems, however due to time constraints </w:t>
      </w:r>
      <w:r w:rsidR="004F00E5" w:rsidRPr="002B14B4">
        <w:rPr>
          <w:bCs/>
        </w:rPr>
        <w:t xml:space="preserve">only </w:t>
      </w:r>
      <w:r w:rsidR="00171217" w:rsidRPr="002B14B4">
        <w:rPr>
          <w:bCs/>
        </w:rPr>
        <w:t xml:space="preserve">five </w:t>
      </w:r>
      <w:r w:rsidR="00171217" w:rsidRPr="00685CF1">
        <w:rPr>
          <w:bCs/>
        </w:rPr>
        <w:t xml:space="preserve">systems were </w:t>
      </w:r>
      <w:r w:rsidR="00010E29" w:rsidRPr="00685CF1">
        <w:rPr>
          <w:bCs/>
        </w:rPr>
        <w:t>reviewed</w:t>
      </w:r>
      <w:r w:rsidR="00171217" w:rsidRPr="00685CF1">
        <w:rPr>
          <w:bCs/>
        </w:rPr>
        <w:t>.</w:t>
      </w:r>
      <w:r w:rsidR="000E6557" w:rsidRPr="00685CF1">
        <w:rPr>
          <w:bCs/>
        </w:rPr>
        <w:t xml:space="preserve"> In summary, </w:t>
      </w:r>
      <w:r w:rsidR="00395635" w:rsidRPr="00685CF1">
        <w:rPr>
          <w:bCs/>
        </w:rPr>
        <w:t xml:space="preserve">the sample consisted of </w:t>
      </w:r>
      <w:r w:rsidR="000E6557" w:rsidRPr="00685CF1">
        <w:rPr>
          <w:bCs/>
        </w:rPr>
        <w:t xml:space="preserve">two systems </w:t>
      </w:r>
      <w:r w:rsidR="00395635" w:rsidRPr="00685CF1">
        <w:rPr>
          <w:bCs/>
        </w:rPr>
        <w:t xml:space="preserve">that </w:t>
      </w:r>
      <w:r w:rsidR="000E6557" w:rsidRPr="00685CF1">
        <w:rPr>
          <w:bCs/>
        </w:rPr>
        <w:t xml:space="preserve">were gravity-fed, one </w:t>
      </w:r>
      <w:r w:rsidR="00BF47CF" w:rsidRPr="00685CF1">
        <w:rPr>
          <w:bCs/>
        </w:rPr>
        <w:t>using</w:t>
      </w:r>
      <w:r w:rsidR="000E6557" w:rsidRPr="00685CF1">
        <w:rPr>
          <w:bCs/>
        </w:rPr>
        <w:t xml:space="preserve"> </w:t>
      </w:r>
      <w:r w:rsidR="00880B01" w:rsidRPr="00685CF1">
        <w:rPr>
          <w:bCs/>
        </w:rPr>
        <w:t xml:space="preserve">a </w:t>
      </w:r>
      <w:r w:rsidR="000E6557" w:rsidRPr="00685CF1">
        <w:rPr>
          <w:bCs/>
        </w:rPr>
        <w:t xml:space="preserve">diesel </w:t>
      </w:r>
      <w:r w:rsidR="00685CF1" w:rsidRPr="00685CF1">
        <w:rPr>
          <w:bCs/>
        </w:rPr>
        <w:t>generator</w:t>
      </w:r>
      <w:r w:rsidR="000E6557" w:rsidRPr="00685CF1">
        <w:rPr>
          <w:bCs/>
        </w:rPr>
        <w:t xml:space="preserve"> and four </w:t>
      </w:r>
      <w:r w:rsidR="00395635" w:rsidRPr="00685CF1">
        <w:rPr>
          <w:bCs/>
        </w:rPr>
        <w:t xml:space="preserve">that </w:t>
      </w:r>
      <w:r w:rsidR="000E6557" w:rsidRPr="00685CF1">
        <w:rPr>
          <w:bCs/>
        </w:rPr>
        <w:t xml:space="preserve">were connected to an electricity grid. Three </w:t>
      </w:r>
      <w:r w:rsidR="00395635" w:rsidRPr="00685CF1">
        <w:rPr>
          <w:bCs/>
        </w:rPr>
        <w:t xml:space="preserve">systems </w:t>
      </w:r>
      <w:r w:rsidR="000E6557" w:rsidRPr="00685CF1">
        <w:rPr>
          <w:bCs/>
        </w:rPr>
        <w:t xml:space="preserve">were managed by </w:t>
      </w:r>
      <w:r w:rsidR="00395635" w:rsidRPr="00685CF1">
        <w:rPr>
          <w:bCs/>
        </w:rPr>
        <w:t>community committees</w:t>
      </w:r>
      <w:r w:rsidR="00395635">
        <w:rPr>
          <w:bCs/>
        </w:rPr>
        <w:t xml:space="preserve"> </w:t>
      </w:r>
      <w:r w:rsidR="000E6557">
        <w:rPr>
          <w:bCs/>
        </w:rPr>
        <w:t xml:space="preserve">and four </w:t>
      </w:r>
      <w:r w:rsidR="00395635">
        <w:rPr>
          <w:bCs/>
        </w:rPr>
        <w:t xml:space="preserve">systems were managed </w:t>
      </w:r>
      <w:r w:rsidR="000E6557">
        <w:rPr>
          <w:bCs/>
        </w:rPr>
        <w:t>by private operators, across four local government districts.</w:t>
      </w:r>
    </w:p>
    <w:p w14:paraId="176DDB4C" w14:textId="62FFB703" w:rsidR="00053BD8" w:rsidRPr="002B14B4" w:rsidRDefault="00053BD8" w:rsidP="00053BD8">
      <w:pPr>
        <w:pStyle w:val="WEDC-Bodytext-P2"/>
        <w:rPr>
          <w:bCs/>
        </w:rPr>
      </w:pPr>
      <w:r w:rsidRPr="002B14B4">
        <w:rPr>
          <w:bCs/>
        </w:rPr>
        <w:t>Quantitative and qualitative data was gathered th</w:t>
      </w:r>
      <w:r w:rsidR="00BF47CF">
        <w:rPr>
          <w:bCs/>
        </w:rPr>
        <w:t>r</w:t>
      </w:r>
      <w:r w:rsidRPr="002B14B4">
        <w:rPr>
          <w:bCs/>
        </w:rPr>
        <w:t>ough water point surveys, focus group discussion</w:t>
      </w:r>
      <w:r w:rsidR="00685CF1">
        <w:rPr>
          <w:bCs/>
        </w:rPr>
        <w:t>s</w:t>
      </w:r>
      <w:r w:rsidRPr="002B14B4">
        <w:rPr>
          <w:bCs/>
        </w:rPr>
        <w:t xml:space="preserve"> (four groups per system, eight participants per group with gender balance) and interviews with service providers and district infrastructure officers. The data for each review was compiled and presented in a tabular format to allow for ease of comparison.</w:t>
      </w:r>
    </w:p>
    <w:p w14:paraId="27C57CE5" w14:textId="071CD32C" w:rsidR="005D0124" w:rsidRDefault="005D01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rPr>
          <w:rFonts w:ascii="Arial" w:hAnsi="Arial" w:cs="Arial"/>
          <w:b/>
          <w:bCs w:val="0"/>
          <w:sz w:val="23"/>
          <w:szCs w:val="23"/>
          <w:lang w:val="en-GB"/>
        </w:rPr>
      </w:pPr>
    </w:p>
    <w:p w14:paraId="2A9AF9A6" w14:textId="77777777" w:rsidR="000055E8" w:rsidRDefault="000055E8" w:rsidP="00F95A52">
      <w:pPr>
        <w:pStyle w:val="Heading1"/>
      </w:pPr>
      <w:r>
        <w:br w:type="page"/>
      </w:r>
    </w:p>
    <w:p w14:paraId="0FCD5576" w14:textId="008933F5" w:rsidR="004C0A5A" w:rsidRPr="002B14B4" w:rsidRDefault="00583676" w:rsidP="00F95A52">
      <w:pPr>
        <w:pStyle w:val="Heading1"/>
      </w:pPr>
      <w:r w:rsidRPr="002B14B4">
        <w:lastRenderedPageBreak/>
        <w:t>Findings</w:t>
      </w:r>
    </w:p>
    <w:p w14:paraId="17E22029" w14:textId="58F87B5E" w:rsidR="00D13C6A" w:rsidRPr="002B14B4" w:rsidRDefault="00D13C6A" w:rsidP="00D13C6A">
      <w:pPr>
        <w:pStyle w:val="WEDC-Bodytext-P2"/>
        <w:ind w:firstLine="0"/>
        <w:rPr>
          <w:rFonts w:ascii="Arial" w:hAnsi="Arial" w:cs="Arial"/>
          <w:b/>
        </w:rPr>
      </w:pPr>
      <w:r w:rsidRPr="002B14B4">
        <w:rPr>
          <w:rFonts w:ascii="Arial" w:hAnsi="Arial" w:cs="Arial"/>
          <w:b/>
        </w:rPr>
        <w:t>The Source of Energy for Conveying Water</w:t>
      </w:r>
    </w:p>
    <w:p w14:paraId="500012C0" w14:textId="669BAD27" w:rsidR="0096517D" w:rsidRPr="002B14B4" w:rsidRDefault="00F95A52" w:rsidP="00162824">
      <w:pPr>
        <w:pStyle w:val="WEDC-Bodytext-P2"/>
        <w:ind w:firstLine="0"/>
      </w:pPr>
      <w:r w:rsidRPr="002B14B4">
        <w:t>The study found that t</w:t>
      </w:r>
      <w:r w:rsidR="00706589" w:rsidRPr="002B14B4">
        <w:t xml:space="preserve">he energy source for conveying water is the main cost driver for water tariffs. All </w:t>
      </w:r>
      <w:r w:rsidR="00706589" w:rsidRPr="002B14B4">
        <w:rPr>
          <w:bCs/>
        </w:rPr>
        <w:t>service</w:t>
      </w:r>
      <w:r w:rsidR="00706589" w:rsidRPr="002B14B4">
        <w:t xml:space="preserve"> providers interviewed were charging different tariffs based on whether the system was gravity</w:t>
      </w:r>
      <w:r w:rsidR="00541337">
        <w:t>-</w:t>
      </w:r>
      <w:r w:rsidR="00706589" w:rsidRPr="002B14B4">
        <w:t xml:space="preserve">fed, pumped </w:t>
      </w:r>
      <w:r w:rsidR="00A01ECF" w:rsidRPr="002B14B4">
        <w:t>using</w:t>
      </w:r>
      <w:r w:rsidR="00706589" w:rsidRPr="002B14B4">
        <w:t xml:space="preserve"> electricity or reliant on a diesel generator (</w:t>
      </w:r>
      <w:r w:rsidR="00DB4044" w:rsidRPr="002B14B4">
        <w:t xml:space="preserve">refer Table </w:t>
      </w:r>
      <w:r w:rsidR="00395635">
        <w:t>1</w:t>
      </w:r>
      <w:r w:rsidR="00DB4044" w:rsidRPr="002B14B4">
        <w:t xml:space="preserve"> below</w:t>
      </w:r>
      <w:r w:rsidR="00706589" w:rsidRPr="002B14B4">
        <w:t xml:space="preserve">). </w:t>
      </w:r>
      <w:r w:rsidR="005D654A">
        <w:t>Service providers reported that g</w:t>
      </w:r>
      <w:r w:rsidR="008138CD" w:rsidRPr="002B14B4">
        <w:t>ravity</w:t>
      </w:r>
      <w:r w:rsidR="00541337">
        <w:t>-</w:t>
      </w:r>
      <w:r w:rsidR="008138CD" w:rsidRPr="002B14B4">
        <w:t>fed systems have the lowest operational costs, followed by pumps connected to the electricity grid.</w:t>
      </w:r>
    </w:p>
    <w:p w14:paraId="2DDC289E" w14:textId="77777777" w:rsidR="0096517D" w:rsidRPr="002B14B4" w:rsidRDefault="0096517D" w:rsidP="00706589">
      <w:pPr>
        <w:pStyle w:val="WEDC-Bodytext-P1"/>
        <w:ind w:left="400"/>
      </w:pPr>
    </w:p>
    <w:tbl>
      <w:tblPr>
        <w:tblStyle w:val="TableGrid"/>
        <w:tblW w:w="0" w:type="auto"/>
        <w:jc w:val="center"/>
        <w:tblLayout w:type="fixed"/>
        <w:tblLook w:val="04A0" w:firstRow="1" w:lastRow="0" w:firstColumn="1" w:lastColumn="0" w:noHBand="0" w:noVBand="1"/>
      </w:tblPr>
      <w:tblGrid>
        <w:gridCol w:w="3875"/>
        <w:gridCol w:w="2115"/>
        <w:gridCol w:w="922"/>
        <w:gridCol w:w="969"/>
      </w:tblGrid>
      <w:tr w:rsidR="009B71EB" w:rsidRPr="002B14B4" w14:paraId="571DF1ED" w14:textId="7D0595AB" w:rsidTr="00FB2FF6">
        <w:trPr>
          <w:trHeight w:val="343"/>
          <w:jc w:val="center"/>
        </w:trPr>
        <w:tc>
          <w:tcPr>
            <w:tcW w:w="7881" w:type="dxa"/>
            <w:gridSpan w:val="4"/>
          </w:tcPr>
          <w:p w14:paraId="5A4BC332" w14:textId="250DA146" w:rsidR="009B71EB" w:rsidRPr="002B14B4" w:rsidRDefault="009B71EB" w:rsidP="00395635">
            <w:pPr>
              <w:pStyle w:val="Default"/>
              <w:tabs>
                <w:tab w:val="left" w:pos="2977"/>
                <w:tab w:val="left" w:pos="3119"/>
                <w:tab w:val="left" w:pos="3544"/>
              </w:tabs>
              <w:spacing w:before="60" w:after="60"/>
              <w:ind w:right="34"/>
              <w:rPr>
                <w:rFonts w:ascii="Arial" w:hAnsi="Arial" w:cs="Arial"/>
                <w:b/>
                <w:bCs/>
                <w:sz w:val="18"/>
                <w:szCs w:val="18"/>
                <w:lang w:val="en-GB"/>
              </w:rPr>
            </w:pPr>
            <w:r w:rsidRPr="002B14B4">
              <w:rPr>
                <w:rFonts w:ascii="Arial" w:hAnsi="Arial" w:cs="Arial"/>
                <w:b/>
                <w:bCs/>
                <w:sz w:val="18"/>
                <w:szCs w:val="18"/>
                <w:lang w:val="en-GB"/>
              </w:rPr>
              <w:t xml:space="preserve">Table </w:t>
            </w:r>
            <w:r w:rsidR="00395635">
              <w:rPr>
                <w:rFonts w:ascii="Arial" w:hAnsi="Arial" w:cs="Arial"/>
                <w:b/>
                <w:bCs/>
                <w:sz w:val="18"/>
                <w:szCs w:val="18"/>
                <w:lang w:val="en-GB"/>
              </w:rPr>
              <w:t>1</w:t>
            </w:r>
            <w:r w:rsidRPr="002B14B4">
              <w:rPr>
                <w:rFonts w:ascii="Arial" w:hAnsi="Arial" w:cs="Arial"/>
                <w:b/>
                <w:bCs/>
                <w:sz w:val="18"/>
                <w:szCs w:val="18"/>
                <w:lang w:val="en-GB"/>
              </w:rPr>
              <w:t>. Market prices for water tariffs by energy source in Rwanda and associated ratings of acceptability.</w:t>
            </w:r>
          </w:p>
        </w:tc>
      </w:tr>
      <w:tr w:rsidR="009B71EB" w:rsidRPr="002B14B4" w14:paraId="223BDD38" w14:textId="278C3B98" w:rsidTr="00FB2FF6">
        <w:trPr>
          <w:trHeight w:val="343"/>
          <w:jc w:val="center"/>
        </w:trPr>
        <w:tc>
          <w:tcPr>
            <w:tcW w:w="3875" w:type="dxa"/>
            <w:shd w:val="clear" w:color="auto" w:fill="F2F2F2" w:themeFill="background1" w:themeFillShade="F2"/>
          </w:tcPr>
          <w:p w14:paraId="32D6E6E4" w14:textId="77777777" w:rsidR="009B71EB" w:rsidRPr="002B14B4" w:rsidRDefault="009B71EB" w:rsidP="00CD458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977"/>
                <w:tab w:val="left" w:pos="3119"/>
                <w:tab w:val="left" w:pos="3544"/>
              </w:tabs>
              <w:spacing w:before="60" w:after="60"/>
              <w:ind w:right="34"/>
              <w:rPr>
                <w:rFonts w:ascii="Arial" w:eastAsia="Cambria" w:hAnsi="Arial" w:cs="Arial"/>
                <w:b/>
                <w:bCs/>
                <w:sz w:val="16"/>
                <w:szCs w:val="16"/>
                <w:lang w:val="en-GB"/>
              </w:rPr>
            </w:pPr>
            <w:r w:rsidRPr="002B14B4">
              <w:rPr>
                <w:rFonts w:ascii="Arial" w:eastAsia="Cambria" w:hAnsi="Arial" w:cs="Arial"/>
                <w:b/>
                <w:bCs/>
                <w:sz w:val="16"/>
                <w:szCs w:val="16"/>
                <w:lang w:val="en-GB"/>
              </w:rPr>
              <w:t>Source of Energy</w:t>
            </w:r>
          </w:p>
        </w:tc>
        <w:tc>
          <w:tcPr>
            <w:tcW w:w="2115" w:type="dxa"/>
            <w:shd w:val="clear" w:color="auto" w:fill="F2F2F2" w:themeFill="background1" w:themeFillShade="F2"/>
          </w:tcPr>
          <w:p w14:paraId="796491D7" w14:textId="77777777" w:rsidR="009B71EB" w:rsidRPr="002B14B4" w:rsidRDefault="009B71EB" w:rsidP="004A197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977"/>
                <w:tab w:val="left" w:pos="3119"/>
                <w:tab w:val="left" w:pos="3544"/>
              </w:tabs>
              <w:spacing w:before="60" w:after="60" w:line="240" w:lineRule="auto"/>
              <w:jc w:val="center"/>
              <w:rPr>
                <w:rFonts w:ascii="Arial" w:eastAsia="Cambria" w:hAnsi="Arial" w:cs="Arial"/>
                <w:b/>
                <w:sz w:val="16"/>
                <w:szCs w:val="16"/>
                <w:lang w:val="en-GB"/>
              </w:rPr>
            </w:pPr>
            <w:r w:rsidRPr="002B14B4">
              <w:rPr>
                <w:rFonts w:ascii="Arial" w:eastAsia="Cambria" w:hAnsi="Arial" w:cs="Arial"/>
                <w:b/>
                <w:sz w:val="16"/>
                <w:szCs w:val="16"/>
                <w:lang w:val="en-GB"/>
              </w:rPr>
              <w:t xml:space="preserve">Cost per 20 </w:t>
            </w:r>
            <w:proofErr w:type="spellStart"/>
            <w:r w:rsidRPr="002B14B4">
              <w:rPr>
                <w:rFonts w:ascii="Arial" w:eastAsia="Cambria" w:hAnsi="Arial" w:cs="Arial"/>
                <w:b/>
                <w:sz w:val="16"/>
                <w:szCs w:val="16"/>
                <w:lang w:val="en-GB"/>
              </w:rPr>
              <w:t>ltr</w:t>
            </w:r>
            <w:proofErr w:type="spellEnd"/>
            <w:r w:rsidRPr="002B14B4">
              <w:rPr>
                <w:rFonts w:ascii="Arial" w:eastAsia="Cambria" w:hAnsi="Arial" w:cs="Arial"/>
                <w:b/>
                <w:sz w:val="16"/>
                <w:szCs w:val="16"/>
                <w:lang w:val="en-GB"/>
              </w:rPr>
              <w:t xml:space="preserve">. </w:t>
            </w:r>
            <w:r w:rsidRPr="002B14B4">
              <w:rPr>
                <w:rFonts w:ascii="Arial" w:eastAsia="Cambria" w:hAnsi="Arial" w:cs="Arial"/>
                <w:b/>
                <w:sz w:val="16"/>
                <w:szCs w:val="16"/>
                <w:lang w:val="en-GB"/>
              </w:rPr>
              <w:br/>
              <w:t>Jerry Can (RWF)</w:t>
            </w:r>
          </w:p>
        </w:tc>
        <w:tc>
          <w:tcPr>
            <w:tcW w:w="1891" w:type="dxa"/>
            <w:gridSpan w:val="2"/>
            <w:shd w:val="clear" w:color="auto" w:fill="F2F2F2" w:themeFill="background1" w:themeFillShade="F2"/>
          </w:tcPr>
          <w:p w14:paraId="49D6F54F" w14:textId="360DC5D5" w:rsidR="009B71EB" w:rsidRPr="002B14B4" w:rsidRDefault="009B71EB" w:rsidP="004A197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977"/>
                <w:tab w:val="left" w:pos="3119"/>
                <w:tab w:val="left" w:pos="3544"/>
              </w:tabs>
              <w:spacing w:before="60" w:after="60" w:line="240" w:lineRule="auto"/>
              <w:jc w:val="center"/>
              <w:rPr>
                <w:rFonts w:ascii="Arial" w:eastAsia="Cambria" w:hAnsi="Arial" w:cs="Arial"/>
                <w:b/>
                <w:sz w:val="16"/>
                <w:szCs w:val="16"/>
                <w:lang w:val="en-GB"/>
              </w:rPr>
            </w:pPr>
            <w:r w:rsidRPr="002B14B4">
              <w:rPr>
                <w:rFonts w:ascii="Arial" w:eastAsia="Cambria" w:hAnsi="Arial" w:cs="Arial"/>
                <w:b/>
                <w:sz w:val="16"/>
                <w:szCs w:val="16"/>
                <w:lang w:val="en-GB"/>
              </w:rPr>
              <w:t>Average consumer price rating</w:t>
            </w:r>
          </w:p>
        </w:tc>
      </w:tr>
      <w:tr w:rsidR="009B71EB" w:rsidRPr="002B14B4" w14:paraId="0AB0024A" w14:textId="568DAF4A" w:rsidTr="00FB2FF6">
        <w:trPr>
          <w:jc w:val="center"/>
        </w:trPr>
        <w:tc>
          <w:tcPr>
            <w:tcW w:w="3875" w:type="dxa"/>
          </w:tcPr>
          <w:p w14:paraId="6DA26769" w14:textId="77777777" w:rsidR="009B71EB" w:rsidRPr="002B14B4" w:rsidRDefault="009B71EB" w:rsidP="00CD458B">
            <w:pPr>
              <w:widowControl w:val="0"/>
              <w:spacing w:before="60" w:after="60"/>
              <w:rPr>
                <w:rFonts w:ascii="Arial" w:hAnsi="Arial" w:cs="Arial"/>
                <w:sz w:val="16"/>
                <w:szCs w:val="16"/>
                <w:lang w:val="en-GB"/>
              </w:rPr>
            </w:pPr>
            <w:r w:rsidRPr="002B14B4">
              <w:rPr>
                <w:rFonts w:ascii="Arial" w:hAnsi="Arial" w:cs="Arial"/>
                <w:sz w:val="16"/>
                <w:szCs w:val="16"/>
                <w:lang w:val="en-GB"/>
              </w:rPr>
              <w:t>Gravity-fed system</w:t>
            </w:r>
          </w:p>
        </w:tc>
        <w:tc>
          <w:tcPr>
            <w:tcW w:w="2115" w:type="dxa"/>
          </w:tcPr>
          <w:p w14:paraId="0A661E95" w14:textId="61DC4DCF" w:rsidR="009B71EB" w:rsidRPr="002B14B4" w:rsidRDefault="009B71EB" w:rsidP="00F91A04">
            <w:pPr>
              <w:widowControl w:val="0"/>
              <w:spacing w:before="60" w:after="60"/>
              <w:jc w:val="center"/>
              <w:rPr>
                <w:rFonts w:ascii="Arial" w:hAnsi="Arial" w:cs="Arial"/>
                <w:sz w:val="16"/>
                <w:szCs w:val="16"/>
                <w:lang w:val="en-GB"/>
              </w:rPr>
            </w:pPr>
            <w:r w:rsidRPr="002B14B4">
              <w:rPr>
                <w:rFonts w:ascii="Arial" w:hAnsi="Arial" w:cs="Arial"/>
                <w:sz w:val="16"/>
                <w:szCs w:val="16"/>
                <w:lang w:val="en-GB"/>
              </w:rPr>
              <w:t xml:space="preserve">8 </w:t>
            </w:r>
            <w:r w:rsidR="00F91A04">
              <w:rPr>
                <w:rFonts w:ascii="Arial" w:hAnsi="Arial" w:cs="Arial"/>
                <w:sz w:val="16"/>
                <w:szCs w:val="16"/>
                <w:lang w:val="en-GB"/>
              </w:rPr>
              <w:t>‒</w:t>
            </w:r>
            <w:r w:rsidRPr="002B14B4">
              <w:rPr>
                <w:rFonts w:ascii="Arial" w:hAnsi="Arial" w:cs="Arial"/>
                <w:sz w:val="16"/>
                <w:szCs w:val="16"/>
                <w:lang w:val="en-GB"/>
              </w:rPr>
              <w:t xml:space="preserve"> 10</w:t>
            </w:r>
          </w:p>
        </w:tc>
        <w:tc>
          <w:tcPr>
            <w:tcW w:w="922" w:type="dxa"/>
            <w:tcBorders>
              <w:right w:val="nil"/>
            </w:tcBorders>
          </w:tcPr>
          <w:p w14:paraId="3C0EB20F" w14:textId="32C74A15" w:rsidR="009B71EB" w:rsidRPr="002B14B4" w:rsidRDefault="009B71EB" w:rsidP="00FB2FF6">
            <w:pPr>
              <w:widowControl w:val="0"/>
              <w:tabs>
                <w:tab w:val="clear" w:pos="567"/>
              </w:tabs>
              <w:spacing w:before="60" w:after="60"/>
              <w:jc w:val="right"/>
              <w:rPr>
                <w:rFonts w:ascii="Arial" w:hAnsi="Arial" w:cs="Arial"/>
                <w:sz w:val="16"/>
                <w:szCs w:val="16"/>
                <w:lang w:val="en-GB"/>
              </w:rPr>
            </w:pPr>
            <w:r w:rsidRPr="002B14B4">
              <w:rPr>
                <w:rFonts w:ascii="Arial" w:hAnsi="Arial" w:cs="Arial"/>
                <w:sz w:val="16"/>
                <w:szCs w:val="16"/>
                <w:lang w:val="en-GB"/>
              </w:rPr>
              <w:t>4.1</w:t>
            </w:r>
          </w:p>
        </w:tc>
        <w:tc>
          <w:tcPr>
            <w:tcW w:w="969" w:type="dxa"/>
            <w:tcBorders>
              <w:left w:val="nil"/>
            </w:tcBorders>
          </w:tcPr>
          <w:p w14:paraId="148A90B0" w14:textId="7F0AEE46" w:rsidR="009B71EB" w:rsidRPr="002B14B4" w:rsidRDefault="009B71EB" w:rsidP="00FB2FF6">
            <w:pPr>
              <w:widowControl w:val="0"/>
              <w:spacing w:before="60" w:after="60"/>
              <w:ind w:left="-108" w:firstLine="108"/>
              <w:jc w:val="left"/>
              <w:rPr>
                <w:rFonts w:ascii="Arial" w:hAnsi="Arial" w:cs="Arial"/>
                <w:sz w:val="16"/>
                <w:szCs w:val="16"/>
                <w:lang w:val="en-GB"/>
              </w:rPr>
            </w:pPr>
            <w:r w:rsidRPr="002B14B4">
              <w:rPr>
                <w:rFonts w:ascii="Arial" w:hAnsi="Arial" w:cs="Arial"/>
                <w:sz w:val="16"/>
                <w:szCs w:val="16"/>
                <w:lang w:val="en-GB"/>
              </w:rPr>
              <w:t>(n=32)</w:t>
            </w:r>
          </w:p>
        </w:tc>
      </w:tr>
      <w:tr w:rsidR="009B71EB" w:rsidRPr="002B14B4" w14:paraId="26456F98" w14:textId="22DD6B82" w:rsidTr="00FB2FF6">
        <w:trPr>
          <w:jc w:val="center"/>
        </w:trPr>
        <w:tc>
          <w:tcPr>
            <w:tcW w:w="3875" w:type="dxa"/>
          </w:tcPr>
          <w:p w14:paraId="1D54814A" w14:textId="77777777" w:rsidR="009B71EB" w:rsidRPr="002B14B4" w:rsidRDefault="009B71EB" w:rsidP="00CD458B">
            <w:pPr>
              <w:widowControl w:val="0"/>
              <w:spacing w:before="60" w:after="60"/>
              <w:rPr>
                <w:rFonts w:ascii="Arial" w:hAnsi="Arial" w:cs="Arial"/>
                <w:sz w:val="16"/>
                <w:szCs w:val="16"/>
                <w:lang w:val="en-GB"/>
              </w:rPr>
            </w:pPr>
            <w:r w:rsidRPr="002B14B4">
              <w:rPr>
                <w:rFonts w:ascii="Arial" w:hAnsi="Arial" w:cs="Arial"/>
                <w:sz w:val="16"/>
                <w:szCs w:val="16"/>
                <w:lang w:val="en-GB"/>
              </w:rPr>
              <w:t>Electricity from national grid powering a pump</w:t>
            </w:r>
          </w:p>
        </w:tc>
        <w:tc>
          <w:tcPr>
            <w:tcW w:w="2115" w:type="dxa"/>
          </w:tcPr>
          <w:p w14:paraId="4DF0B465" w14:textId="5BA1D6EA" w:rsidR="009B71EB" w:rsidRPr="002B14B4" w:rsidRDefault="009B71EB" w:rsidP="00F91A04">
            <w:pPr>
              <w:widowControl w:val="0"/>
              <w:spacing w:before="60" w:after="60"/>
              <w:jc w:val="center"/>
              <w:rPr>
                <w:rFonts w:ascii="Arial" w:hAnsi="Arial" w:cs="Arial"/>
                <w:sz w:val="16"/>
                <w:szCs w:val="16"/>
                <w:lang w:val="en-GB"/>
              </w:rPr>
            </w:pPr>
            <w:r w:rsidRPr="002B14B4">
              <w:rPr>
                <w:rFonts w:ascii="Arial" w:hAnsi="Arial" w:cs="Arial"/>
                <w:sz w:val="16"/>
                <w:szCs w:val="16"/>
                <w:lang w:val="en-GB"/>
              </w:rPr>
              <w:t xml:space="preserve">15 </w:t>
            </w:r>
            <w:r w:rsidR="00F91A04">
              <w:rPr>
                <w:rFonts w:ascii="Arial" w:hAnsi="Arial" w:cs="Arial"/>
                <w:sz w:val="16"/>
                <w:szCs w:val="16"/>
                <w:lang w:val="en-GB"/>
              </w:rPr>
              <w:t>‒</w:t>
            </w:r>
            <w:r w:rsidRPr="002B14B4">
              <w:rPr>
                <w:rFonts w:ascii="Arial" w:hAnsi="Arial" w:cs="Arial"/>
                <w:sz w:val="16"/>
                <w:szCs w:val="16"/>
                <w:lang w:val="en-GB"/>
              </w:rPr>
              <w:t xml:space="preserve"> 20</w:t>
            </w:r>
          </w:p>
        </w:tc>
        <w:tc>
          <w:tcPr>
            <w:tcW w:w="922" w:type="dxa"/>
            <w:tcBorders>
              <w:right w:val="nil"/>
            </w:tcBorders>
          </w:tcPr>
          <w:p w14:paraId="7A7D53BA" w14:textId="02DB6D30" w:rsidR="009B71EB" w:rsidRPr="002B14B4" w:rsidRDefault="009B71EB" w:rsidP="00FB2FF6">
            <w:pPr>
              <w:widowControl w:val="0"/>
              <w:spacing w:before="60" w:after="60"/>
              <w:jc w:val="right"/>
              <w:rPr>
                <w:rFonts w:ascii="Arial" w:hAnsi="Arial" w:cs="Arial"/>
                <w:sz w:val="16"/>
                <w:szCs w:val="16"/>
                <w:lang w:val="en-GB"/>
              </w:rPr>
            </w:pPr>
            <w:r w:rsidRPr="002B14B4">
              <w:rPr>
                <w:rFonts w:ascii="Arial" w:hAnsi="Arial" w:cs="Arial"/>
                <w:sz w:val="16"/>
                <w:szCs w:val="16"/>
                <w:lang w:val="en-GB"/>
              </w:rPr>
              <w:t>3.6</w:t>
            </w:r>
          </w:p>
        </w:tc>
        <w:tc>
          <w:tcPr>
            <w:tcW w:w="969" w:type="dxa"/>
            <w:tcBorders>
              <w:left w:val="nil"/>
            </w:tcBorders>
          </w:tcPr>
          <w:p w14:paraId="23721D37" w14:textId="25683BFA" w:rsidR="009B71EB" w:rsidRPr="002B14B4" w:rsidRDefault="009B71EB" w:rsidP="00FB2FF6">
            <w:pPr>
              <w:widowControl w:val="0"/>
              <w:spacing w:before="60" w:after="60"/>
              <w:jc w:val="left"/>
              <w:rPr>
                <w:rFonts w:ascii="Arial" w:hAnsi="Arial" w:cs="Arial"/>
                <w:sz w:val="16"/>
                <w:szCs w:val="16"/>
                <w:lang w:val="en-GB"/>
              </w:rPr>
            </w:pPr>
            <w:r w:rsidRPr="002B14B4">
              <w:rPr>
                <w:rFonts w:ascii="Arial" w:hAnsi="Arial" w:cs="Arial"/>
                <w:sz w:val="16"/>
                <w:szCs w:val="16"/>
                <w:lang w:val="en-GB"/>
              </w:rPr>
              <w:t>(n=128)</w:t>
            </w:r>
          </w:p>
        </w:tc>
      </w:tr>
      <w:tr w:rsidR="009B71EB" w:rsidRPr="002B14B4" w14:paraId="4FF55703" w14:textId="6BD7894A" w:rsidTr="00FB2FF6">
        <w:trPr>
          <w:jc w:val="center"/>
        </w:trPr>
        <w:tc>
          <w:tcPr>
            <w:tcW w:w="3875" w:type="dxa"/>
          </w:tcPr>
          <w:p w14:paraId="50D6D915" w14:textId="77777777" w:rsidR="009B71EB" w:rsidRPr="002B14B4" w:rsidRDefault="009B71EB" w:rsidP="00CD458B">
            <w:pPr>
              <w:widowControl w:val="0"/>
              <w:spacing w:before="60" w:after="60"/>
              <w:rPr>
                <w:rFonts w:ascii="Arial" w:hAnsi="Arial" w:cs="Arial"/>
                <w:sz w:val="16"/>
                <w:szCs w:val="16"/>
                <w:lang w:val="en-GB"/>
              </w:rPr>
            </w:pPr>
            <w:r w:rsidRPr="002B14B4">
              <w:rPr>
                <w:rFonts w:ascii="Arial" w:hAnsi="Arial" w:cs="Arial"/>
                <w:sz w:val="16"/>
                <w:szCs w:val="16"/>
                <w:lang w:val="en-GB"/>
              </w:rPr>
              <w:t>Diesel generator powering a pump</w:t>
            </w:r>
          </w:p>
        </w:tc>
        <w:tc>
          <w:tcPr>
            <w:tcW w:w="2115" w:type="dxa"/>
          </w:tcPr>
          <w:p w14:paraId="5D52E3AD" w14:textId="77777777" w:rsidR="009B71EB" w:rsidRPr="002B14B4" w:rsidRDefault="009B71EB" w:rsidP="00CD458B">
            <w:pPr>
              <w:widowControl w:val="0"/>
              <w:spacing w:before="60" w:after="60"/>
              <w:jc w:val="center"/>
              <w:rPr>
                <w:rFonts w:ascii="Arial" w:hAnsi="Arial" w:cs="Arial"/>
                <w:sz w:val="16"/>
                <w:szCs w:val="16"/>
                <w:lang w:val="en-GB"/>
              </w:rPr>
            </w:pPr>
            <w:r w:rsidRPr="002B14B4">
              <w:rPr>
                <w:rFonts w:ascii="Arial" w:hAnsi="Arial" w:cs="Arial"/>
                <w:sz w:val="16"/>
                <w:szCs w:val="16"/>
                <w:lang w:val="en-GB"/>
              </w:rPr>
              <w:t>30</w:t>
            </w:r>
          </w:p>
        </w:tc>
        <w:tc>
          <w:tcPr>
            <w:tcW w:w="922" w:type="dxa"/>
            <w:tcBorders>
              <w:right w:val="nil"/>
            </w:tcBorders>
          </w:tcPr>
          <w:p w14:paraId="2854FC7E" w14:textId="7A88FAC5" w:rsidR="009B71EB" w:rsidRPr="002B14B4" w:rsidRDefault="009B71EB" w:rsidP="00FB2FF6">
            <w:pPr>
              <w:widowControl w:val="0"/>
              <w:spacing w:before="60" w:after="60"/>
              <w:jc w:val="right"/>
              <w:rPr>
                <w:rFonts w:ascii="Arial" w:hAnsi="Arial" w:cs="Arial"/>
                <w:sz w:val="16"/>
                <w:szCs w:val="16"/>
                <w:lang w:val="en-GB"/>
              </w:rPr>
            </w:pPr>
            <w:r w:rsidRPr="002B14B4">
              <w:rPr>
                <w:rFonts w:ascii="Arial" w:hAnsi="Arial" w:cs="Arial"/>
                <w:sz w:val="16"/>
                <w:szCs w:val="16"/>
                <w:lang w:val="en-GB"/>
              </w:rPr>
              <w:t>2.3</w:t>
            </w:r>
          </w:p>
        </w:tc>
        <w:tc>
          <w:tcPr>
            <w:tcW w:w="969" w:type="dxa"/>
            <w:tcBorders>
              <w:left w:val="nil"/>
            </w:tcBorders>
          </w:tcPr>
          <w:p w14:paraId="46BAD292" w14:textId="36F87D9D" w:rsidR="009B71EB" w:rsidRPr="002B14B4" w:rsidRDefault="009B71EB" w:rsidP="00FB2FF6">
            <w:pPr>
              <w:widowControl w:val="0"/>
              <w:spacing w:before="60" w:after="60"/>
              <w:jc w:val="left"/>
              <w:rPr>
                <w:rFonts w:ascii="Arial" w:hAnsi="Arial" w:cs="Arial"/>
                <w:sz w:val="16"/>
                <w:szCs w:val="16"/>
                <w:lang w:val="en-GB"/>
              </w:rPr>
            </w:pPr>
            <w:r w:rsidRPr="002B14B4">
              <w:rPr>
                <w:rFonts w:ascii="Arial" w:hAnsi="Arial" w:cs="Arial"/>
                <w:sz w:val="16"/>
                <w:szCs w:val="16"/>
                <w:lang w:val="en-GB"/>
              </w:rPr>
              <w:t>(n=32)</w:t>
            </w:r>
          </w:p>
        </w:tc>
      </w:tr>
    </w:tbl>
    <w:p w14:paraId="778026D2" w14:textId="77777777" w:rsidR="00706589" w:rsidRPr="002B14B4" w:rsidRDefault="00706589" w:rsidP="00706589">
      <w:pPr>
        <w:pStyle w:val="WEDC-Bodytext-P1"/>
        <w:ind w:left="40"/>
      </w:pPr>
    </w:p>
    <w:p w14:paraId="7DC594A3" w14:textId="1BB0BA40" w:rsidR="00271C07" w:rsidRPr="002B14B4" w:rsidRDefault="00271C07" w:rsidP="00262B18">
      <w:pPr>
        <w:pStyle w:val="WEDC-Bodytext-P2"/>
        <w:rPr>
          <w:noProof/>
          <w:color w:val="auto"/>
        </w:rPr>
      </w:pPr>
      <w:r w:rsidRPr="002B14B4">
        <w:t xml:space="preserve">Table </w:t>
      </w:r>
      <w:r w:rsidR="00395635">
        <w:t>1</w:t>
      </w:r>
      <w:r w:rsidRPr="002B14B4">
        <w:t xml:space="preserve"> compares the different water tariffs with focus group participant ratings of the price of the water tariff, on a scale of 1 to 5 </w:t>
      </w:r>
      <w:r w:rsidRPr="002B14B4">
        <w:rPr>
          <w:noProof/>
        </w:rPr>
        <w:t xml:space="preserve">(1 meant “It is expensive”, 5 meant “It is cheap”). </w:t>
      </w:r>
      <w:r w:rsidRPr="002B14B4">
        <w:rPr>
          <w:noProof/>
          <w:color w:val="auto"/>
        </w:rPr>
        <w:t>The tab</w:t>
      </w:r>
      <w:r w:rsidR="00F302E5" w:rsidRPr="002B14B4">
        <w:rPr>
          <w:noProof/>
          <w:color w:val="auto"/>
        </w:rPr>
        <w:t>l</w:t>
      </w:r>
      <w:r w:rsidRPr="002B14B4">
        <w:rPr>
          <w:noProof/>
          <w:color w:val="auto"/>
        </w:rPr>
        <w:t xml:space="preserve">e </w:t>
      </w:r>
      <w:r w:rsidR="00F302E5" w:rsidRPr="002B14B4">
        <w:rPr>
          <w:noProof/>
          <w:color w:val="auto"/>
        </w:rPr>
        <w:t>indicates</w:t>
      </w:r>
      <w:r w:rsidRPr="002B14B4">
        <w:rPr>
          <w:noProof/>
          <w:color w:val="auto"/>
        </w:rPr>
        <w:t xml:space="preserve"> that demand for</w:t>
      </w:r>
      <w:r w:rsidR="00F302E5" w:rsidRPr="002B14B4">
        <w:rPr>
          <w:noProof/>
          <w:color w:val="auto"/>
        </w:rPr>
        <w:t xml:space="preserve"> water may be price elastic;</w:t>
      </w:r>
      <w:r w:rsidRPr="002B14B4">
        <w:rPr>
          <w:noProof/>
          <w:color w:val="auto"/>
        </w:rPr>
        <w:t xml:space="preserve"> consumer willingness to pay decreases as the price of the water tariff increases.</w:t>
      </w:r>
      <w:r w:rsidR="00F302E5" w:rsidRPr="002B14B4">
        <w:rPr>
          <w:noProof/>
          <w:color w:val="auto"/>
        </w:rPr>
        <w:t xml:space="preserve"> </w:t>
      </w:r>
      <w:r w:rsidR="00FF3B96" w:rsidRPr="00541337">
        <w:rPr>
          <w:noProof/>
          <w:color w:val="auto"/>
        </w:rPr>
        <w:t>However</w:t>
      </w:r>
      <w:r w:rsidR="00FF3B96" w:rsidRPr="002B14B4">
        <w:rPr>
          <w:noProof/>
          <w:color w:val="auto"/>
        </w:rPr>
        <w:t>, t</w:t>
      </w:r>
      <w:r w:rsidR="00217EE2" w:rsidRPr="002B14B4">
        <w:rPr>
          <w:noProof/>
          <w:color w:val="auto"/>
        </w:rPr>
        <w:t xml:space="preserve">here is insufficient data to prove the strength of the relationship between a change in price and a change in demand. </w:t>
      </w:r>
      <w:r w:rsidR="0055136B" w:rsidRPr="002B14B4">
        <w:rPr>
          <w:noProof/>
          <w:color w:val="auto"/>
        </w:rPr>
        <w:t>Focus group participants reported that</w:t>
      </w:r>
      <w:r w:rsidR="00217EE2" w:rsidRPr="002B14B4">
        <w:rPr>
          <w:noProof/>
          <w:color w:val="auto"/>
        </w:rPr>
        <w:t xml:space="preserve"> </w:t>
      </w:r>
      <w:r w:rsidR="0055136B" w:rsidRPr="002B14B4">
        <w:rPr>
          <w:noProof/>
          <w:color w:val="auto"/>
        </w:rPr>
        <w:t>t</w:t>
      </w:r>
      <w:r w:rsidR="00FF3B96" w:rsidRPr="002B14B4">
        <w:rPr>
          <w:noProof/>
          <w:color w:val="auto"/>
        </w:rPr>
        <w:t>he time spent queuing</w:t>
      </w:r>
      <w:r w:rsidR="00217EE2" w:rsidRPr="002B14B4">
        <w:rPr>
          <w:noProof/>
          <w:color w:val="auto"/>
        </w:rPr>
        <w:t xml:space="preserve"> was a </w:t>
      </w:r>
      <w:r w:rsidR="0055136B" w:rsidRPr="002B14B4">
        <w:rPr>
          <w:noProof/>
          <w:color w:val="auto"/>
        </w:rPr>
        <w:t>motivation</w:t>
      </w:r>
      <w:r w:rsidR="00217EE2" w:rsidRPr="002B14B4">
        <w:rPr>
          <w:noProof/>
          <w:color w:val="auto"/>
        </w:rPr>
        <w:t xml:space="preserve"> to seek cheaper substit</w:t>
      </w:r>
      <w:r w:rsidR="00FF3B96" w:rsidRPr="002B14B4">
        <w:rPr>
          <w:noProof/>
          <w:color w:val="auto"/>
        </w:rPr>
        <w:t xml:space="preserve">utes and it is possible that the distance </w:t>
      </w:r>
      <w:r w:rsidR="00ED7E19" w:rsidRPr="002B14B4">
        <w:rPr>
          <w:noProof/>
          <w:color w:val="auto"/>
        </w:rPr>
        <w:t xml:space="preserve">to visit </w:t>
      </w:r>
      <w:r w:rsidR="00FF3B96" w:rsidRPr="002B14B4">
        <w:rPr>
          <w:noProof/>
          <w:color w:val="auto"/>
        </w:rPr>
        <w:t>a cheaper al</w:t>
      </w:r>
      <w:r w:rsidR="00ED7E19" w:rsidRPr="002B14B4">
        <w:rPr>
          <w:noProof/>
          <w:color w:val="auto"/>
        </w:rPr>
        <w:t xml:space="preserve">ternative may also be </w:t>
      </w:r>
      <w:r w:rsidR="005D654A">
        <w:rPr>
          <w:noProof/>
          <w:color w:val="auto"/>
        </w:rPr>
        <w:t>a factor</w:t>
      </w:r>
      <w:r w:rsidR="00ED7E19" w:rsidRPr="002B14B4">
        <w:rPr>
          <w:noProof/>
          <w:color w:val="auto"/>
        </w:rPr>
        <w:t xml:space="preserve"> affecting willingness to pay.</w:t>
      </w:r>
      <w:r w:rsidR="00787C7D" w:rsidRPr="002B14B4">
        <w:rPr>
          <w:noProof/>
          <w:color w:val="auto"/>
        </w:rPr>
        <w:t xml:space="preserve"> Note that in all cases the cheaper alternative was a </w:t>
      </w:r>
      <w:r w:rsidR="00787C7D" w:rsidRPr="00541337">
        <w:rPr>
          <w:noProof/>
          <w:color w:val="auto"/>
        </w:rPr>
        <w:t>protected</w:t>
      </w:r>
      <w:r w:rsidR="00787C7D" w:rsidRPr="002B14B4">
        <w:rPr>
          <w:noProof/>
          <w:color w:val="auto"/>
        </w:rPr>
        <w:t xml:space="preserve"> spring or surface water. </w:t>
      </w:r>
    </w:p>
    <w:p w14:paraId="0FABC1CC" w14:textId="77777777" w:rsidR="00162824" w:rsidRPr="002B14B4" w:rsidRDefault="00162824" w:rsidP="00162824">
      <w:pPr>
        <w:pStyle w:val="WEDC-Bodytext-P2"/>
        <w:ind w:firstLine="0"/>
        <w:rPr>
          <w:rFonts w:ascii="Arial" w:hAnsi="Arial" w:cs="Arial"/>
          <w:b/>
        </w:rPr>
      </w:pPr>
    </w:p>
    <w:p w14:paraId="7FF907C3" w14:textId="02650FAA" w:rsidR="00162824" w:rsidRPr="002B14B4" w:rsidRDefault="00162824" w:rsidP="00162824">
      <w:pPr>
        <w:pStyle w:val="WEDC-Bodytext-P2"/>
        <w:ind w:firstLine="0"/>
        <w:rPr>
          <w:rFonts w:ascii="Arial" w:hAnsi="Arial" w:cs="Arial"/>
          <w:b/>
        </w:rPr>
      </w:pPr>
      <w:r w:rsidRPr="002B14B4">
        <w:rPr>
          <w:rFonts w:ascii="Arial" w:hAnsi="Arial" w:cs="Arial"/>
          <w:b/>
        </w:rPr>
        <w:t>The Model of Service Provision</w:t>
      </w:r>
    </w:p>
    <w:p w14:paraId="52C2DBD0" w14:textId="778825C5" w:rsidR="00162824" w:rsidRPr="00BD0217" w:rsidRDefault="00162824" w:rsidP="00533F5B">
      <w:pPr>
        <w:pStyle w:val="WEDC-Bodytext-P2"/>
        <w:ind w:firstLine="0"/>
        <w:rPr>
          <w:color w:val="auto"/>
        </w:rPr>
      </w:pPr>
      <w:r w:rsidRPr="002B14B4">
        <w:rPr>
          <w:noProof/>
          <w:color w:val="auto"/>
        </w:rPr>
        <w:t xml:space="preserve">Table </w:t>
      </w:r>
      <w:r w:rsidR="00395635">
        <w:rPr>
          <w:noProof/>
          <w:color w:val="auto"/>
        </w:rPr>
        <w:t>2</w:t>
      </w:r>
      <w:r w:rsidRPr="002B14B4">
        <w:rPr>
          <w:noProof/>
          <w:color w:val="auto"/>
        </w:rPr>
        <w:t xml:space="preserve"> provides a comparison of system functionality. The proportion of functional public water points in the system is a snapshot on the day of </w:t>
      </w:r>
      <w:r w:rsidR="00BF47CF">
        <w:rPr>
          <w:noProof/>
          <w:color w:val="auto"/>
        </w:rPr>
        <w:t xml:space="preserve"> </w:t>
      </w:r>
      <w:r w:rsidRPr="002B14B4">
        <w:rPr>
          <w:noProof/>
          <w:color w:val="auto"/>
        </w:rPr>
        <w:t>the water point survey and does not provide an accurate picture of functionality. The duration of the last breakdown was a pass/fail criterion – a breakdown lasting less than or equal to two days was considered a pass.</w:t>
      </w:r>
      <w:r w:rsidR="005F61DB" w:rsidRPr="005F61DB">
        <w:rPr>
          <w:noProof/>
          <w:color w:val="auto"/>
          <w:vertAlign w:val="superscript"/>
        </w:rPr>
        <w:t>3</w:t>
      </w:r>
      <w:r w:rsidR="00BD0217" w:rsidRPr="00BD0217">
        <w:rPr>
          <w:noProof/>
          <w:color w:val="auto"/>
        </w:rPr>
        <w:t xml:space="preserve"> </w:t>
      </w:r>
      <w:r w:rsidR="00BD0217">
        <w:t xml:space="preserve">The two measures combined provide reliable information on the </w:t>
      </w:r>
      <w:r w:rsidR="00BD0217" w:rsidRPr="008C2BC1">
        <w:t xml:space="preserve">functionality of </w:t>
      </w:r>
      <w:r w:rsidR="00BD0217">
        <w:t>a</w:t>
      </w:r>
      <w:r w:rsidR="00BD0217" w:rsidRPr="008C2BC1">
        <w:t xml:space="preserve"> system.</w:t>
      </w:r>
    </w:p>
    <w:p w14:paraId="400633C3" w14:textId="6ADCDBBC" w:rsidR="00162824" w:rsidRDefault="00673AD3" w:rsidP="00673AD3">
      <w:pPr>
        <w:pStyle w:val="WEDC-Bodytext-P2"/>
        <w:rPr>
          <w:noProof/>
          <w:color w:val="auto"/>
        </w:rPr>
      </w:pPr>
      <w:r w:rsidRPr="002B14B4">
        <w:rPr>
          <w:noProof/>
          <w:color w:val="auto"/>
        </w:rPr>
        <w:t xml:space="preserve">Table </w:t>
      </w:r>
      <w:r w:rsidR="005F61DB">
        <w:rPr>
          <w:noProof/>
          <w:color w:val="auto"/>
        </w:rPr>
        <w:t>2</w:t>
      </w:r>
      <w:r w:rsidR="008A5C3C" w:rsidRPr="002B14B4">
        <w:rPr>
          <w:noProof/>
          <w:color w:val="auto"/>
        </w:rPr>
        <w:t xml:space="preserve"> </w:t>
      </w:r>
      <w:r w:rsidRPr="002B14B4">
        <w:rPr>
          <w:noProof/>
          <w:color w:val="auto"/>
        </w:rPr>
        <w:t>shows that all four privately managed systems prevented breakdowns from lasting more than two days, whereas two of the three community managed systems failed</w:t>
      </w:r>
      <w:r w:rsidR="00BF47CF">
        <w:rPr>
          <w:noProof/>
          <w:color w:val="auto"/>
        </w:rPr>
        <w:t xml:space="preserve"> on</w:t>
      </w:r>
      <w:r w:rsidRPr="002B14B4">
        <w:rPr>
          <w:noProof/>
          <w:color w:val="auto"/>
        </w:rPr>
        <w:t xml:space="preserve"> this criterion. All systems maintained a reasonably high level of functional water points, with the exception of Munini, which had completely broken </w:t>
      </w:r>
      <w:r w:rsidRPr="00F91A04">
        <w:rPr>
          <w:noProof/>
          <w:color w:val="auto"/>
        </w:rPr>
        <w:t xml:space="preserve">down </w:t>
      </w:r>
      <w:r w:rsidR="00F91A04">
        <w:rPr>
          <w:noProof/>
          <w:color w:val="auto"/>
        </w:rPr>
        <w:t>‒</w:t>
      </w:r>
      <w:r w:rsidR="005F61DB">
        <w:rPr>
          <w:noProof/>
          <w:color w:val="auto"/>
        </w:rPr>
        <w:t xml:space="preserve"> </w:t>
      </w:r>
      <w:r w:rsidRPr="002B14B4">
        <w:rPr>
          <w:noProof/>
          <w:color w:val="auto"/>
        </w:rPr>
        <w:t xml:space="preserve">funding for operations and maintenance was collected on an ad hoc basis; no tariff was charged, resulting in insufficient revenues </w:t>
      </w:r>
      <w:r w:rsidRPr="00AD40DA">
        <w:rPr>
          <w:noProof/>
          <w:color w:val="auto"/>
        </w:rPr>
        <w:t xml:space="preserve">and </w:t>
      </w:r>
      <w:r w:rsidR="00600609" w:rsidRPr="00AD40DA">
        <w:rPr>
          <w:noProof/>
          <w:color w:val="auto"/>
        </w:rPr>
        <w:t xml:space="preserve">a </w:t>
      </w:r>
      <w:r w:rsidRPr="00AD40DA">
        <w:rPr>
          <w:noProof/>
          <w:color w:val="auto"/>
        </w:rPr>
        <w:t>gradual</w:t>
      </w:r>
      <w:r w:rsidRPr="002B14B4">
        <w:rPr>
          <w:noProof/>
          <w:color w:val="auto"/>
        </w:rPr>
        <w:t xml:space="preserve"> breakdown</w:t>
      </w:r>
      <w:r w:rsidR="00AD40DA">
        <w:rPr>
          <w:noProof/>
          <w:color w:val="auto"/>
        </w:rPr>
        <w:t xml:space="preserve"> in system functionality</w:t>
      </w:r>
      <w:r w:rsidRPr="00F91A04">
        <w:rPr>
          <w:noProof/>
          <w:color w:val="auto"/>
        </w:rPr>
        <w:t>.</w:t>
      </w:r>
      <w:r w:rsidRPr="002B14B4">
        <w:rPr>
          <w:noProof/>
          <w:color w:val="auto"/>
        </w:rPr>
        <w:t xml:space="preserve"> The Mututu system did maintain the water points</w:t>
      </w:r>
      <w:r w:rsidR="00822EAF">
        <w:rPr>
          <w:noProof/>
          <w:color w:val="auto"/>
        </w:rPr>
        <w:t>,</w:t>
      </w:r>
      <w:r w:rsidRPr="002B14B4">
        <w:rPr>
          <w:noProof/>
          <w:color w:val="auto"/>
        </w:rPr>
        <w:t xml:space="preserve"> however</w:t>
      </w:r>
      <w:r w:rsidR="00822EAF">
        <w:rPr>
          <w:noProof/>
          <w:color w:val="auto"/>
        </w:rPr>
        <w:t>,</w:t>
      </w:r>
      <w:r w:rsidRPr="002B14B4">
        <w:rPr>
          <w:noProof/>
          <w:color w:val="auto"/>
        </w:rPr>
        <w:t xml:space="preserve"> it failed the breakdown test due to insufficient diesel supplies to power the pump. Note that the average age of the funcational systems is 10 years.</w:t>
      </w:r>
    </w:p>
    <w:p w14:paraId="742530D3" w14:textId="77777777" w:rsidR="00F91A04" w:rsidRPr="002B14B4" w:rsidRDefault="00F91A04" w:rsidP="00673AD3">
      <w:pPr>
        <w:pStyle w:val="WEDC-Bodytext-P2"/>
        <w:rPr>
          <w:noProof/>
          <w:color w:val="auto"/>
        </w:rPr>
      </w:pPr>
    </w:p>
    <w:tbl>
      <w:tblPr>
        <w:tblW w:w="7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00"/>
        <w:gridCol w:w="1835"/>
        <w:gridCol w:w="1701"/>
        <w:gridCol w:w="1514"/>
      </w:tblGrid>
      <w:tr w:rsidR="008C21C0" w:rsidRPr="002B14B4" w14:paraId="780D2650" w14:textId="77777777" w:rsidTr="00F25E93">
        <w:trPr>
          <w:trHeight w:val="300"/>
          <w:jc w:val="center"/>
        </w:trPr>
        <w:tc>
          <w:tcPr>
            <w:tcW w:w="7774" w:type="dxa"/>
            <w:gridSpan w:val="5"/>
            <w:shd w:val="clear" w:color="auto" w:fill="auto"/>
            <w:noWrap/>
            <w:vAlign w:val="bottom"/>
          </w:tcPr>
          <w:p w14:paraId="66FFA295" w14:textId="22F91527" w:rsidR="008C21C0" w:rsidRPr="002B14B4" w:rsidRDefault="008C21C0" w:rsidP="005F61D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8"/>
                <w:szCs w:val="18"/>
                <w:lang w:val="en-GB"/>
              </w:rPr>
            </w:pPr>
            <w:r w:rsidRPr="002B14B4">
              <w:rPr>
                <w:rFonts w:ascii="Arial" w:hAnsi="Arial" w:cs="Arial"/>
                <w:b/>
                <w:bCs w:val="0"/>
                <w:sz w:val="18"/>
                <w:szCs w:val="18"/>
                <w:lang w:val="en-GB"/>
              </w:rPr>
              <w:t xml:space="preserve">Table </w:t>
            </w:r>
            <w:r w:rsidR="005F61DB">
              <w:rPr>
                <w:rFonts w:ascii="Arial" w:hAnsi="Arial" w:cs="Arial"/>
                <w:b/>
                <w:bCs w:val="0"/>
                <w:sz w:val="18"/>
                <w:szCs w:val="18"/>
                <w:lang w:val="en-GB"/>
              </w:rPr>
              <w:t>2</w:t>
            </w:r>
            <w:r w:rsidRPr="002B14B4">
              <w:rPr>
                <w:rFonts w:ascii="Arial" w:hAnsi="Arial" w:cs="Arial"/>
                <w:b/>
                <w:bCs w:val="0"/>
                <w:sz w:val="18"/>
                <w:szCs w:val="18"/>
                <w:lang w:val="en-GB"/>
              </w:rPr>
              <w:t>. System age, functionality and service provider model.</w:t>
            </w:r>
          </w:p>
        </w:tc>
      </w:tr>
      <w:tr w:rsidR="008C21C0" w:rsidRPr="002B14B4" w14:paraId="28059199" w14:textId="77777777" w:rsidTr="00F25E93">
        <w:trPr>
          <w:trHeight w:val="300"/>
          <w:jc w:val="center"/>
        </w:trPr>
        <w:tc>
          <w:tcPr>
            <w:tcW w:w="1424" w:type="dxa"/>
            <w:shd w:val="clear" w:color="auto" w:fill="F2F2F2" w:themeFill="background1" w:themeFillShade="F2"/>
            <w:noWrap/>
            <w:vAlign w:val="bottom"/>
            <w:hideMark/>
          </w:tcPr>
          <w:p w14:paraId="2260C978"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
                <w:bCs w:val="0"/>
                <w:sz w:val="16"/>
                <w:szCs w:val="16"/>
                <w:lang w:val="en-GB"/>
              </w:rPr>
            </w:pPr>
            <w:r w:rsidRPr="002B14B4">
              <w:rPr>
                <w:rFonts w:ascii="Arial" w:hAnsi="Arial" w:cs="Arial"/>
                <w:b/>
                <w:bCs w:val="0"/>
                <w:sz w:val="16"/>
                <w:szCs w:val="16"/>
                <w:lang w:val="en-GB"/>
              </w:rPr>
              <w:t>System</w:t>
            </w:r>
          </w:p>
        </w:tc>
        <w:tc>
          <w:tcPr>
            <w:tcW w:w="1300" w:type="dxa"/>
            <w:shd w:val="clear" w:color="auto" w:fill="F2F2F2" w:themeFill="background1" w:themeFillShade="F2"/>
            <w:noWrap/>
            <w:vAlign w:val="bottom"/>
            <w:hideMark/>
          </w:tcPr>
          <w:p w14:paraId="761DD26A"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
                <w:bCs w:val="0"/>
                <w:sz w:val="16"/>
                <w:szCs w:val="16"/>
                <w:lang w:val="en-GB"/>
              </w:rPr>
            </w:pPr>
            <w:r w:rsidRPr="002B14B4">
              <w:rPr>
                <w:rFonts w:ascii="Arial" w:hAnsi="Arial" w:cs="Arial"/>
                <w:b/>
                <w:bCs w:val="0"/>
                <w:sz w:val="16"/>
                <w:szCs w:val="16"/>
                <w:lang w:val="en-GB"/>
              </w:rPr>
              <w:t>Age in Years</w:t>
            </w:r>
          </w:p>
        </w:tc>
        <w:tc>
          <w:tcPr>
            <w:tcW w:w="1835" w:type="dxa"/>
            <w:shd w:val="clear" w:color="auto" w:fill="F2F2F2" w:themeFill="background1" w:themeFillShade="F2"/>
            <w:noWrap/>
            <w:vAlign w:val="bottom"/>
            <w:hideMark/>
          </w:tcPr>
          <w:p w14:paraId="711E13D5" w14:textId="70A48436" w:rsidR="008C21C0" w:rsidRPr="002B14B4" w:rsidRDefault="008C21C0" w:rsidP="00F25E9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
                <w:bCs w:val="0"/>
                <w:sz w:val="16"/>
                <w:szCs w:val="16"/>
                <w:lang w:val="en-GB"/>
              </w:rPr>
            </w:pPr>
            <w:r w:rsidRPr="002B14B4">
              <w:rPr>
                <w:rFonts w:ascii="Arial" w:hAnsi="Arial" w:cs="Arial"/>
                <w:b/>
                <w:bCs w:val="0"/>
                <w:sz w:val="16"/>
                <w:szCs w:val="16"/>
                <w:lang w:val="en-GB"/>
              </w:rPr>
              <w:t xml:space="preserve">% of Functional Public Water Points </w:t>
            </w:r>
          </w:p>
        </w:tc>
        <w:tc>
          <w:tcPr>
            <w:tcW w:w="1701" w:type="dxa"/>
            <w:shd w:val="clear" w:color="auto" w:fill="F2F2F2" w:themeFill="background1" w:themeFillShade="F2"/>
            <w:noWrap/>
            <w:vAlign w:val="bottom"/>
            <w:hideMark/>
          </w:tcPr>
          <w:p w14:paraId="29EBBECD" w14:textId="0A97D859"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
                <w:bCs w:val="0"/>
                <w:sz w:val="16"/>
                <w:szCs w:val="16"/>
                <w:lang w:val="en-GB"/>
              </w:rPr>
            </w:pPr>
            <w:r w:rsidRPr="002B14B4">
              <w:rPr>
                <w:rFonts w:ascii="Arial" w:hAnsi="Arial" w:cs="Arial"/>
                <w:b/>
                <w:bCs w:val="0"/>
                <w:sz w:val="16"/>
                <w:szCs w:val="16"/>
                <w:lang w:val="en-GB"/>
              </w:rPr>
              <w:t>Duration of Last Breakdown in Days</w:t>
            </w:r>
          </w:p>
        </w:tc>
        <w:tc>
          <w:tcPr>
            <w:tcW w:w="1514" w:type="dxa"/>
            <w:shd w:val="clear" w:color="auto" w:fill="F2F2F2" w:themeFill="background1" w:themeFillShade="F2"/>
            <w:noWrap/>
            <w:vAlign w:val="bottom"/>
            <w:hideMark/>
          </w:tcPr>
          <w:p w14:paraId="54039204"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
                <w:bCs w:val="0"/>
                <w:sz w:val="16"/>
                <w:szCs w:val="16"/>
                <w:lang w:val="en-GB"/>
              </w:rPr>
            </w:pPr>
            <w:r w:rsidRPr="002B14B4">
              <w:rPr>
                <w:rFonts w:ascii="Arial" w:hAnsi="Arial" w:cs="Arial"/>
                <w:b/>
                <w:bCs w:val="0"/>
                <w:sz w:val="16"/>
                <w:szCs w:val="16"/>
                <w:lang w:val="en-GB"/>
              </w:rPr>
              <w:t>Service Provider Model</w:t>
            </w:r>
          </w:p>
        </w:tc>
      </w:tr>
      <w:tr w:rsidR="008C21C0" w:rsidRPr="002B14B4" w14:paraId="1F5E0852" w14:textId="77777777" w:rsidTr="004A1970">
        <w:trPr>
          <w:trHeight w:val="339"/>
          <w:jc w:val="center"/>
        </w:trPr>
        <w:tc>
          <w:tcPr>
            <w:tcW w:w="1424" w:type="dxa"/>
            <w:shd w:val="clear" w:color="auto" w:fill="auto"/>
            <w:noWrap/>
            <w:vAlign w:val="bottom"/>
            <w:hideMark/>
          </w:tcPr>
          <w:p w14:paraId="78AF74DE"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Kibilizi-Kansi</w:t>
            </w:r>
            <w:proofErr w:type="spellEnd"/>
          </w:p>
        </w:tc>
        <w:tc>
          <w:tcPr>
            <w:tcW w:w="1300" w:type="dxa"/>
            <w:shd w:val="clear" w:color="auto" w:fill="auto"/>
            <w:noWrap/>
            <w:vAlign w:val="bottom"/>
            <w:hideMark/>
          </w:tcPr>
          <w:p w14:paraId="7E236420"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7</w:t>
            </w:r>
          </w:p>
        </w:tc>
        <w:tc>
          <w:tcPr>
            <w:tcW w:w="1835" w:type="dxa"/>
            <w:shd w:val="clear" w:color="auto" w:fill="auto"/>
            <w:noWrap/>
            <w:vAlign w:val="bottom"/>
            <w:hideMark/>
          </w:tcPr>
          <w:p w14:paraId="2EC52D04" w14:textId="77777777" w:rsidR="008C21C0" w:rsidRPr="002B14B4" w:rsidRDefault="008C21C0" w:rsidP="004A197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89%</w:t>
            </w:r>
          </w:p>
        </w:tc>
        <w:tc>
          <w:tcPr>
            <w:tcW w:w="1701" w:type="dxa"/>
            <w:shd w:val="clear" w:color="auto" w:fill="auto"/>
            <w:noWrap/>
            <w:vAlign w:val="bottom"/>
            <w:hideMark/>
          </w:tcPr>
          <w:p w14:paraId="5D5CC300" w14:textId="262F2550" w:rsidR="008C21C0" w:rsidRPr="002B14B4" w:rsidRDefault="008C21C0" w:rsidP="00F91A0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 xml:space="preserve">1 </w:t>
            </w:r>
            <w:r w:rsidR="00F91A04">
              <w:rPr>
                <w:rFonts w:ascii="Arial" w:hAnsi="Arial" w:cs="Arial"/>
                <w:bCs w:val="0"/>
                <w:sz w:val="16"/>
                <w:szCs w:val="16"/>
                <w:lang w:val="en-GB"/>
              </w:rPr>
              <w:t>‒</w:t>
            </w:r>
            <w:r w:rsidRPr="002B14B4">
              <w:rPr>
                <w:rFonts w:ascii="Arial" w:hAnsi="Arial" w:cs="Arial"/>
                <w:bCs w:val="0"/>
                <w:sz w:val="16"/>
                <w:szCs w:val="16"/>
                <w:lang w:val="en-GB"/>
              </w:rPr>
              <w:t xml:space="preserve"> 2</w:t>
            </w:r>
          </w:p>
        </w:tc>
        <w:tc>
          <w:tcPr>
            <w:tcW w:w="1514" w:type="dxa"/>
            <w:shd w:val="clear" w:color="auto" w:fill="auto"/>
            <w:noWrap/>
            <w:vAlign w:val="bottom"/>
            <w:hideMark/>
          </w:tcPr>
          <w:p w14:paraId="4AB1BAF4"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Private</w:t>
            </w:r>
          </w:p>
        </w:tc>
      </w:tr>
      <w:tr w:rsidR="008C21C0" w:rsidRPr="002B14B4" w14:paraId="432688F0" w14:textId="77777777" w:rsidTr="00F25E93">
        <w:trPr>
          <w:trHeight w:val="280"/>
          <w:jc w:val="center"/>
        </w:trPr>
        <w:tc>
          <w:tcPr>
            <w:tcW w:w="1424" w:type="dxa"/>
            <w:shd w:val="clear" w:color="auto" w:fill="auto"/>
            <w:noWrap/>
            <w:vAlign w:val="bottom"/>
            <w:hideMark/>
          </w:tcPr>
          <w:p w14:paraId="7571F7EB"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Kabirira</w:t>
            </w:r>
            <w:proofErr w:type="spellEnd"/>
          </w:p>
        </w:tc>
        <w:tc>
          <w:tcPr>
            <w:tcW w:w="1300" w:type="dxa"/>
            <w:shd w:val="clear" w:color="auto" w:fill="auto"/>
            <w:noWrap/>
            <w:vAlign w:val="bottom"/>
            <w:hideMark/>
          </w:tcPr>
          <w:p w14:paraId="3040F32D"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9</w:t>
            </w:r>
          </w:p>
        </w:tc>
        <w:tc>
          <w:tcPr>
            <w:tcW w:w="1835" w:type="dxa"/>
            <w:shd w:val="clear" w:color="auto" w:fill="auto"/>
            <w:noWrap/>
            <w:vAlign w:val="bottom"/>
            <w:hideMark/>
          </w:tcPr>
          <w:p w14:paraId="46BDC21D"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85%</w:t>
            </w:r>
          </w:p>
        </w:tc>
        <w:tc>
          <w:tcPr>
            <w:tcW w:w="1701" w:type="dxa"/>
            <w:shd w:val="clear" w:color="auto" w:fill="auto"/>
            <w:noWrap/>
            <w:vAlign w:val="bottom"/>
            <w:hideMark/>
          </w:tcPr>
          <w:p w14:paraId="78CCB849" w14:textId="79B73637" w:rsidR="008C21C0" w:rsidRPr="00574ACC" w:rsidRDefault="008C21C0" w:rsidP="00F91A0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574ACC">
              <w:rPr>
                <w:rFonts w:ascii="Arial" w:hAnsi="Arial" w:cs="Arial"/>
                <w:bCs w:val="0"/>
                <w:sz w:val="16"/>
                <w:szCs w:val="16"/>
                <w:lang w:val="en-GB"/>
              </w:rPr>
              <w:t xml:space="preserve">1 </w:t>
            </w:r>
            <w:r w:rsidR="00F91A04" w:rsidRPr="00574ACC">
              <w:rPr>
                <w:rFonts w:ascii="Arial" w:hAnsi="Arial" w:cs="Arial"/>
                <w:bCs w:val="0"/>
                <w:sz w:val="16"/>
                <w:szCs w:val="16"/>
                <w:lang w:val="en-GB"/>
              </w:rPr>
              <w:t>‒</w:t>
            </w:r>
            <w:r w:rsidRPr="00574ACC">
              <w:rPr>
                <w:rFonts w:ascii="Arial" w:hAnsi="Arial" w:cs="Arial"/>
                <w:bCs w:val="0"/>
                <w:sz w:val="16"/>
                <w:szCs w:val="16"/>
                <w:lang w:val="en-GB"/>
              </w:rPr>
              <w:t xml:space="preserve"> 2</w:t>
            </w:r>
          </w:p>
        </w:tc>
        <w:tc>
          <w:tcPr>
            <w:tcW w:w="1514" w:type="dxa"/>
            <w:shd w:val="clear" w:color="auto" w:fill="auto"/>
            <w:noWrap/>
            <w:vAlign w:val="bottom"/>
            <w:hideMark/>
          </w:tcPr>
          <w:p w14:paraId="60C6BBFB"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Private</w:t>
            </w:r>
          </w:p>
        </w:tc>
      </w:tr>
      <w:tr w:rsidR="008C21C0" w:rsidRPr="002B14B4" w14:paraId="425BA6CF" w14:textId="77777777" w:rsidTr="00F25E93">
        <w:trPr>
          <w:trHeight w:val="280"/>
          <w:jc w:val="center"/>
        </w:trPr>
        <w:tc>
          <w:tcPr>
            <w:tcW w:w="1424" w:type="dxa"/>
            <w:shd w:val="clear" w:color="auto" w:fill="auto"/>
            <w:noWrap/>
            <w:vAlign w:val="bottom"/>
            <w:hideMark/>
          </w:tcPr>
          <w:p w14:paraId="38604996"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Mangeregere</w:t>
            </w:r>
            <w:proofErr w:type="spellEnd"/>
          </w:p>
        </w:tc>
        <w:tc>
          <w:tcPr>
            <w:tcW w:w="1300" w:type="dxa"/>
            <w:shd w:val="clear" w:color="auto" w:fill="auto"/>
            <w:noWrap/>
            <w:vAlign w:val="bottom"/>
            <w:hideMark/>
          </w:tcPr>
          <w:p w14:paraId="60F3D6A2"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8</w:t>
            </w:r>
          </w:p>
        </w:tc>
        <w:tc>
          <w:tcPr>
            <w:tcW w:w="1835" w:type="dxa"/>
            <w:shd w:val="clear" w:color="auto" w:fill="auto"/>
            <w:noWrap/>
            <w:vAlign w:val="bottom"/>
            <w:hideMark/>
          </w:tcPr>
          <w:p w14:paraId="057DE836"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75%</w:t>
            </w:r>
          </w:p>
        </w:tc>
        <w:tc>
          <w:tcPr>
            <w:tcW w:w="1701" w:type="dxa"/>
            <w:shd w:val="clear" w:color="auto" w:fill="auto"/>
            <w:noWrap/>
            <w:vAlign w:val="bottom"/>
            <w:hideMark/>
          </w:tcPr>
          <w:p w14:paraId="4A420D8C" w14:textId="41307393" w:rsidR="008C21C0" w:rsidRPr="00574ACC" w:rsidRDefault="00574ACC"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574ACC">
              <w:rPr>
                <w:rFonts w:ascii="Arial" w:hAnsi="Arial" w:cs="Arial"/>
                <w:bCs w:val="0"/>
                <w:sz w:val="16"/>
                <w:szCs w:val="16"/>
                <w:lang w:val="en-GB"/>
              </w:rPr>
              <w:t>≤</w:t>
            </w:r>
            <w:r w:rsidR="008C21C0" w:rsidRPr="00574ACC">
              <w:rPr>
                <w:rFonts w:ascii="Arial" w:hAnsi="Arial" w:cs="Arial"/>
                <w:bCs w:val="0"/>
                <w:sz w:val="16"/>
                <w:szCs w:val="16"/>
                <w:lang w:val="en-GB"/>
              </w:rPr>
              <w:t xml:space="preserve"> 1</w:t>
            </w:r>
          </w:p>
        </w:tc>
        <w:tc>
          <w:tcPr>
            <w:tcW w:w="1514" w:type="dxa"/>
            <w:shd w:val="clear" w:color="auto" w:fill="auto"/>
            <w:noWrap/>
            <w:vAlign w:val="bottom"/>
            <w:hideMark/>
          </w:tcPr>
          <w:p w14:paraId="630E9AF5"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Community</w:t>
            </w:r>
          </w:p>
        </w:tc>
      </w:tr>
      <w:tr w:rsidR="008C21C0" w:rsidRPr="002B14B4" w14:paraId="6232997A" w14:textId="77777777" w:rsidTr="00F25E93">
        <w:trPr>
          <w:trHeight w:val="280"/>
          <w:jc w:val="center"/>
        </w:trPr>
        <w:tc>
          <w:tcPr>
            <w:tcW w:w="1424" w:type="dxa"/>
            <w:shd w:val="clear" w:color="auto" w:fill="auto"/>
            <w:noWrap/>
            <w:vAlign w:val="bottom"/>
            <w:hideMark/>
          </w:tcPr>
          <w:p w14:paraId="511B2C10"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Rwazana</w:t>
            </w:r>
            <w:proofErr w:type="spellEnd"/>
          </w:p>
        </w:tc>
        <w:tc>
          <w:tcPr>
            <w:tcW w:w="1300" w:type="dxa"/>
            <w:shd w:val="clear" w:color="auto" w:fill="auto"/>
            <w:noWrap/>
            <w:vAlign w:val="bottom"/>
            <w:hideMark/>
          </w:tcPr>
          <w:p w14:paraId="1A764BFD"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10</w:t>
            </w:r>
          </w:p>
        </w:tc>
        <w:tc>
          <w:tcPr>
            <w:tcW w:w="1835" w:type="dxa"/>
            <w:shd w:val="clear" w:color="auto" w:fill="auto"/>
            <w:noWrap/>
            <w:vAlign w:val="bottom"/>
            <w:hideMark/>
          </w:tcPr>
          <w:p w14:paraId="474DEB26"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75%</w:t>
            </w:r>
          </w:p>
        </w:tc>
        <w:tc>
          <w:tcPr>
            <w:tcW w:w="1701" w:type="dxa"/>
            <w:shd w:val="clear" w:color="auto" w:fill="auto"/>
            <w:noWrap/>
            <w:vAlign w:val="bottom"/>
            <w:hideMark/>
          </w:tcPr>
          <w:p w14:paraId="1342DA2A" w14:textId="63B4B43B" w:rsidR="008C21C0" w:rsidRPr="00574ACC" w:rsidRDefault="00574ACC"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574ACC">
              <w:rPr>
                <w:rFonts w:ascii="Arial" w:hAnsi="Arial" w:cs="Arial"/>
                <w:bCs w:val="0"/>
                <w:sz w:val="16"/>
                <w:szCs w:val="16"/>
                <w:lang w:val="en-GB"/>
              </w:rPr>
              <w:t>≤</w:t>
            </w:r>
            <w:r w:rsidR="008C21C0" w:rsidRPr="00574ACC">
              <w:rPr>
                <w:rFonts w:ascii="Arial" w:hAnsi="Arial" w:cs="Arial"/>
                <w:bCs w:val="0"/>
                <w:sz w:val="16"/>
                <w:szCs w:val="16"/>
                <w:lang w:val="en-GB"/>
              </w:rPr>
              <w:t xml:space="preserve"> 1</w:t>
            </w:r>
          </w:p>
        </w:tc>
        <w:tc>
          <w:tcPr>
            <w:tcW w:w="1514" w:type="dxa"/>
            <w:shd w:val="clear" w:color="auto" w:fill="auto"/>
            <w:noWrap/>
            <w:vAlign w:val="bottom"/>
            <w:hideMark/>
          </w:tcPr>
          <w:p w14:paraId="06B82A12"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Private</w:t>
            </w:r>
          </w:p>
        </w:tc>
      </w:tr>
      <w:tr w:rsidR="008C21C0" w:rsidRPr="002B14B4" w14:paraId="1FA5F28B" w14:textId="77777777" w:rsidTr="00F25E93">
        <w:trPr>
          <w:trHeight w:val="280"/>
          <w:jc w:val="center"/>
        </w:trPr>
        <w:tc>
          <w:tcPr>
            <w:tcW w:w="1424" w:type="dxa"/>
            <w:shd w:val="clear" w:color="auto" w:fill="auto"/>
            <w:noWrap/>
            <w:vAlign w:val="bottom"/>
            <w:hideMark/>
          </w:tcPr>
          <w:p w14:paraId="4A36CC37"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Nyamirama</w:t>
            </w:r>
            <w:proofErr w:type="spellEnd"/>
          </w:p>
        </w:tc>
        <w:tc>
          <w:tcPr>
            <w:tcW w:w="1300" w:type="dxa"/>
            <w:shd w:val="clear" w:color="auto" w:fill="auto"/>
            <w:noWrap/>
            <w:vAlign w:val="bottom"/>
            <w:hideMark/>
          </w:tcPr>
          <w:p w14:paraId="33452D3A"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16</w:t>
            </w:r>
          </w:p>
        </w:tc>
        <w:tc>
          <w:tcPr>
            <w:tcW w:w="1835" w:type="dxa"/>
            <w:shd w:val="clear" w:color="auto" w:fill="auto"/>
            <w:noWrap/>
            <w:vAlign w:val="bottom"/>
            <w:hideMark/>
          </w:tcPr>
          <w:p w14:paraId="7FE4DC57"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71%</w:t>
            </w:r>
          </w:p>
        </w:tc>
        <w:tc>
          <w:tcPr>
            <w:tcW w:w="1701" w:type="dxa"/>
            <w:shd w:val="clear" w:color="auto" w:fill="auto"/>
            <w:noWrap/>
            <w:vAlign w:val="bottom"/>
            <w:hideMark/>
          </w:tcPr>
          <w:p w14:paraId="09E5E062" w14:textId="5F447D24" w:rsidR="008C21C0" w:rsidRPr="00574ACC" w:rsidRDefault="00574ACC"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574ACC">
              <w:rPr>
                <w:rFonts w:ascii="Arial" w:hAnsi="Arial" w:cs="Arial"/>
                <w:bCs w:val="0"/>
                <w:sz w:val="16"/>
                <w:szCs w:val="16"/>
                <w:lang w:val="en-GB"/>
              </w:rPr>
              <w:t>≤</w:t>
            </w:r>
            <w:r w:rsidR="008C21C0" w:rsidRPr="00574ACC">
              <w:rPr>
                <w:rFonts w:ascii="Arial" w:hAnsi="Arial" w:cs="Arial"/>
                <w:bCs w:val="0"/>
                <w:sz w:val="16"/>
                <w:szCs w:val="16"/>
                <w:lang w:val="en-GB"/>
              </w:rPr>
              <w:t xml:space="preserve"> 1</w:t>
            </w:r>
          </w:p>
        </w:tc>
        <w:tc>
          <w:tcPr>
            <w:tcW w:w="1514" w:type="dxa"/>
            <w:shd w:val="clear" w:color="auto" w:fill="auto"/>
            <w:noWrap/>
            <w:vAlign w:val="bottom"/>
            <w:hideMark/>
          </w:tcPr>
          <w:p w14:paraId="52DDBCEF"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Private</w:t>
            </w:r>
          </w:p>
        </w:tc>
      </w:tr>
      <w:tr w:rsidR="008C21C0" w:rsidRPr="002B14B4" w14:paraId="484EF65A" w14:textId="77777777" w:rsidTr="00F25E93">
        <w:trPr>
          <w:trHeight w:val="280"/>
          <w:jc w:val="center"/>
        </w:trPr>
        <w:tc>
          <w:tcPr>
            <w:tcW w:w="1424" w:type="dxa"/>
            <w:shd w:val="clear" w:color="auto" w:fill="auto"/>
            <w:noWrap/>
            <w:vAlign w:val="bottom"/>
            <w:hideMark/>
          </w:tcPr>
          <w:p w14:paraId="3C56908B"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Mututu</w:t>
            </w:r>
            <w:proofErr w:type="spellEnd"/>
          </w:p>
        </w:tc>
        <w:tc>
          <w:tcPr>
            <w:tcW w:w="1300" w:type="dxa"/>
            <w:shd w:val="clear" w:color="auto" w:fill="auto"/>
            <w:noWrap/>
            <w:vAlign w:val="bottom"/>
            <w:hideMark/>
          </w:tcPr>
          <w:p w14:paraId="5FF3FA5D"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2</w:t>
            </w:r>
          </w:p>
        </w:tc>
        <w:tc>
          <w:tcPr>
            <w:tcW w:w="1835" w:type="dxa"/>
            <w:shd w:val="clear" w:color="auto" w:fill="auto"/>
            <w:noWrap/>
            <w:vAlign w:val="bottom"/>
            <w:hideMark/>
          </w:tcPr>
          <w:p w14:paraId="2DD8A1C5"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87%</w:t>
            </w:r>
          </w:p>
        </w:tc>
        <w:tc>
          <w:tcPr>
            <w:tcW w:w="1701" w:type="dxa"/>
            <w:shd w:val="clear" w:color="auto" w:fill="auto"/>
            <w:noWrap/>
            <w:vAlign w:val="bottom"/>
            <w:hideMark/>
          </w:tcPr>
          <w:p w14:paraId="6AC2D031" w14:textId="04A7D91D" w:rsidR="008C21C0" w:rsidRPr="002B14B4" w:rsidRDefault="008C21C0" w:rsidP="00F91A0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 xml:space="preserve">3 </w:t>
            </w:r>
            <w:r w:rsidR="00F91A04">
              <w:rPr>
                <w:rFonts w:ascii="Arial" w:hAnsi="Arial" w:cs="Arial"/>
                <w:bCs w:val="0"/>
                <w:sz w:val="16"/>
                <w:szCs w:val="16"/>
                <w:lang w:val="en-GB"/>
              </w:rPr>
              <w:t>‒</w:t>
            </w:r>
            <w:r w:rsidRPr="002B14B4">
              <w:rPr>
                <w:rFonts w:ascii="Arial" w:hAnsi="Arial" w:cs="Arial"/>
                <w:bCs w:val="0"/>
                <w:sz w:val="16"/>
                <w:szCs w:val="16"/>
                <w:lang w:val="en-GB"/>
              </w:rPr>
              <w:t xml:space="preserve"> 7+</w:t>
            </w:r>
          </w:p>
        </w:tc>
        <w:tc>
          <w:tcPr>
            <w:tcW w:w="1514" w:type="dxa"/>
            <w:shd w:val="clear" w:color="auto" w:fill="auto"/>
            <w:noWrap/>
            <w:vAlign w:val="bottom"/>
            <w:hideMark/>
          </w:tcPr>
          <w:p w14:paraId="4EB9C888"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Community</w:t>
            </w:r>
          </w:p>
        </w:tc>
      </w:tr>
      <w:tr w:rsidR="008C21C0" w:rsidRPr="002B14B4" w14:paraId="1FDA1A9F" w14:textId="77777777" w:rsidTr="00F25E93">
        <w:trPr>
          <w:trHeight w:val="280"/>
          <w:jc w:val="center"/>
        </w:trPr>
        <w:tc>
          <w:tcPr>
            <w:tcW w:w="1424" w:type="dxa"/>
            <w:shd w:val="clear" w:color="auto" w:fill="auto"/>
            <w:noWrap/>
            <w:vAlign w:val="bottom"/>
            <w:hideMark/>
          </w:tcPr>
          <w:p w14:paraId="184DB895"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left"/>
              <w:rPr>
                <w:rFonts w:ascii="Arial" w:hAnsi="Arial" w:cs="Arial"/>
                <w:bCs w:val="0"/>
                <w:sz w:val="16"/>
                <w:szCs w:val="16"/>
                <w:lang w:val="en-GB"/>
              </w:rPr>
            </w:pPr>
            <w:proofErr w:type="spellStart"/>
            <w:r w:rsidRPr="002B14B4">
              <w:rPr>
                <w:rFonts w:ascii="Arial" w:hAnsi="Arial" w:cs="Arial"/>
                <w:bCs w:val="0"/>
                <w:sz w:val="16"/>
                <w:szCs w:val="16"/>
                <w:lang w:val="en-GB"/>
              </w:rPr>
              <w:t>Munini</w:t>
            </w:r>
            <w:proofErr w:type="spellEnd"/>
          </w:p>
        </w:tc>
        <w:tc>
          <w:tcPr>
            <w:tcW w:w="1300" w:type="dxa"/>
            <w:shd w:val="clear" w:color="auto" w:fill="auto"/>
            <w:noWrap/>
            <w:vAlign w:val="bottom"/>
            <w:hideMark/>
          </w:tcPr>
          <w:p w14:paraId="78AEF674"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4</w:t>
            </w:r>
          </w:p>
        </w:tc>
        <w:tc>
          <w:tcPr>
            <w:tcW w:w="1835" w:type="dxa"/>
            <w:shd w:val="clear" w:color="auto" w:fill="auto"/>
            <w:noWrap/>
            <w:vAlign w:val="bottom"/>
            <w:hideMark/>
          </w:tcPr>
          <w:p w14:paraId="6B31C789"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0%</w:t>
            </w:r>
          </w:p>
        </w:tc>
        <w:tc>
          <w:tcPr>
            <w:tcW w:w="1701" w:type="dxa"/>
            <w:shd w:val="clear" w:color="auto" w:fill="auto"/>
            <w:noWrap/>
            <w:vAlign w:val="bottom"/>
            <w:hideMark/>
          </w:tcPr>
          <w:p w14:paraId="6FC0B54C"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&gt; 7</w:t>
            </w:r>
          </w:p>
        </w:tc>
        <w:tc>
          <w:tcPr>
            <w:tcW w:w="1514" w:type="dxa"/>
            <w:shd w:val="clear" w:color="auto" w:fill="auto"/>
            <w:noWrap/>
            <w:vAlign w:val="bottom"/>
            <w:hideMark/>
          </w:tcPr>
          <w:p w14:paraId="4EF81F6B" w14:textId="77777777" w:rsidR="008C21C0" w:rsidRPr="002B14B4" w:rsidRDefault="008C21C0" w:rsidP="008C21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60" w:after="60" w:line="240" w:lineRule="auto"/>
              <w:jc w:val="center"/>
              <w:rPr>
                <w:rFonts w:ascii="Arial" w:hAnsi="Arial" w:cs="Arial"/>
                <w:bCs w:val="0"/>
                <w:sz w:val="16"/>
                <w:szCs w:val="16"/>
                <w:lang w:val="en-GB"/>
              </w:rPr>
            </w:pPr>
            <w:r w:rsidRPr="002B14B4">
              <w:rPr>
                <w:rFonts w:ascii="Arial" w:hAnsi="Arial" w:cs="Arial"/>
                <w:bCs w:val="0"/>
                <w:sz w:val="16"/>
                <w:szCs w:val="16"/>
                <w:lang w:val="en-GB"/>
              </w:rPr>
              <w:t>Community</w:t>
            </w:r>
          </w:p>
        </w:tc>
      </w:tr>
    </w:tbl>
    <w:p w14:paraId="1BBA36BF" w14:textId="259D7A7A" w:rsidR="00262B18" w:rsidRPr="002B14B4" w:rsidRDefault="00262B18" w:rsidP="00D13C6A">
      <w:pPr>
        <w:pStyle w:val="WEDC-Bodytext-P2"/>
        <w:ind w:firstLine="0"/>
        <w:rPr>
          <w:noProof/>
          <w:color w:val="auto"/>
        </w:rPr>
      </w:pPr>
    </w:p>
    <w:p w14:paraId="12176B00" w14:textId="409918AC" w:rsidR="00D13C6A" w:rsidRPr="002B14B4" w:rsidRDefault="003D0303" w:rsidP="00262B18">
      <w:pPr>
        <w:pStyle w:val="WEDC-Bodytext-P2"/>
        <w:rPr>
          <w:noProof/>
          <w:color w:val="auto"/>
        </w:rPr>
      </w:pPr>
      <w:r>
        <w:rPr>
          <w:noProof/>
          <w:color w:val="auto"/>
        </w:rPr>
        <w:lastRenderedPageBreak/>
        <w:t xml:space="preserve">The findings presented in Table 2 indicate that </w:t>
      </w:r>
      <w:r w:rsidRPr="002B14B4">
        <w:rPr>
          <w:noProof/>
          <w:color w:val="auto"/>
        </w:rPr>
        <w:t>privat</w:t>
      </w:r>
      <w:r>
        <w:rPr>
          <w:noProof/>
          <w:color w:val="auto"/>
        </w:rPr>
        <w:t>e operators may be a more reliable model of service provision than community management committees. However, t</w:t>
      </w:r>
      <w:r w:rsidR="00D13C6A" w:rsidRPr="002B14B4">
        <w:rPr>
          <w:noProof/>
          <w:color w:val="auto"/>
        </w:rPr>
        <w:t xml:space="preserve">here is insufficient evidence to provide a conclusive comment on whether private operators </w:t>
      </w:r>
      <w:r>
        <w:rPr>
          <w:noProof/>
          <w:color w:val="auto"/>
        </w:rPr>
        <w:t>are better able to sustain a water supply service</w:t>
      </w:r>
      <w:r w:rsidR="00962AFB">
        <w:rPr>
          <w:noProof/>
          <w:color w:val="auto"/>
        </w:rPr>
        <w:t>;</w:t>
      </w:r>
      <w:r w:rsidR="00D13C6A" w:rsidRPr="002B14B4">
        <w:rPr>
          <w:noProof/>
          <w:color w:val="auto"/>
        </w:rPr>
        <w:t xml:space="preserve"> </w:t>
      </w:r>
      <w:r w:rsidR="00962AFB">
        <w:rPr>
          <w:noProof/>
          <w:color w:val="auto"/>
        </w:rPr>
        <w:t>a</w:t>
      </w:r>
      <w:r w:rsidR="00D13C6A" w:rsidRPr="002B14B4">
        <w:rPr>
          <w:noProof/>
          <w:color w:val="auto"/>
        </w:rPr>
        <w:t xml:space="preserve"> larger sample is required.</w:t>
      </w:r>
    </w:p>
    <w:p w14:paraId="71FCD4E6" w14:textId="77D52B17" w:rsidR="005F61DB" w:rsidRDefault="005F61D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rPr>
          <w:rFonts w:ascii="Arial" w:hAnsi="Arial" w:cs="Arial"/>
          <w:b/>
          <w:bCs w:val="0"/>
          <w:spacing w:val="-2"/>
          <w:szCs w:val="20"/>
          <w:lang w:val="en-GB"/>
        </w:rPr>
      </w:pPr>
    </w:p>
    <w:p w14:paraId="5C022C41" w14:textId="71F57E57" w:rsidR="00533F5B" w:rsidRPr="002B14B4" w:rsidRDefault="00533F5B" w:rsidP="00533F5B">
      <w:pPr>
        <w:pStyle w:val="WEDC-Bodytext-P2"/>
        <w:ind w:firstLine="0"/>
        <w:rPr>
          <w:rFonts w:ascii="Arial" w:hAnsi="Arial" w:cs="Arial"/>
          <w:b/>
        </w:rPr>
      </w:pPr>
      <w:r w:rsidRPr="002B14B4">
        <w:rPr>
          <w:rFonts w:ascii="Arial" w:hAnsi="Arial" w:cs="Arial"/>
          <w:b/>
        </w:rPr>
        <w:t>The Importance of Support from Local Government</w:t>
      </w:r>
    </w:p>
    <w:p w14:paraId="11D6F694" w14:textId="44EE3C6F" w:rsidR="00215B0C" w:rsidRDefault="00B0091B" w:rsidP="00751428">
      <w:pPr>
        <w:pStyle w:val="WEDC-Bodytext-P2"/>
        <w:ind w:firstLine="0"/>
        <w:rPr>
          <w:noProof/>
          <w:color w:val="auto"/>
        </w:rPr>
      </w:pPr>
      <w:r w:rsidRPr="00215B0C">
        <w:rPr>
          <w:noProof/>
          <w:color w:val="auto"/>
        </w:rPr>
        <w:t>All</w:t>
      </w:r>
      <w:r w:rsidRPr="002B14B4">
        <w:rPr>
          <w:noProof/>
          <w:color w:val="auto"/>
        </w:rPr>
        <w:t xml:space="preserve"> four private operators have a cost sharing arrangement in place with district-level government. </w:t>
      </w:r>
      <w:r w:rsidR="00751428" w:rsidRPr="002B14B4">
        <w:rPr>
          <w:noProof/>
          <w:color w:val="auto"/>
        </w:rPr>
        <w:t>These</w:t>
      </w:r>
      <w:r w:rsidRPr="002B14B4">
        <w:rPr>
          <w:noProof/>
          <w:color w:val="auto"/>
        </w:rPr>
        <w:t xml:space="preserve"> arrangement</w:t>
      </w:r>
      <w:r w:rsidR="00751428" w:rsidRPr="002B14B4">
        <w:rPr>
          <w:noProof/>
          <w:color w:val="auto"/>
        </w:rPr>
        <w:t xml:space="preserve">s </w:t>
      </w:r>
      <w:r w:rsidR="00215B0C">
        <w:rPr>
          <w:noProof/>
          <w:color w:val="auto"/>
        </w:rPr>
        <w:t>subsidise</w:t>
      </w:r>
      <w:r w:rsidRPr="002B14B4">
        <w:rPr>
          <w:noProof/>
          <w:color w:val="auto"/>
        </w:rPr>
        <w:t xml:space="preserve"> large mainte</w:t>
      </w:r>
      <w:r w:rsidR="00751428" w:rsidRPr="002B14B4">
        <w:rPr>
          <w:noProof/>
          <w:color w:val="auto"/>
        </w:rPr>
        <w:t>nance and repair costs</w:t>
      </w:r>
      <w:r w:rsidR="00962AFB">
        <w:rPr>
          <w:noProof/>
          <w:color w:val="auto"/>
        </w:rPr>
        <w:t>, acting as a form of insurance</w:t>
      </w:r>
      <w:r w:rsidR="00751428" w:rsidRPr="002B14B4">
        <w:rPr>
          <w:noProof/>
          <w:color w:val="auto"/>
        </w:rPr>
        <w:t xml:space="preserve"> and </w:t>
      </w:r>
      <w:r w:rsidR="00215B0C">
        <w:rPr>
          <w:noProof/>
          <w:color w:val="auto"/>
        </w:rPr>
        <w:t>allow</w:t>
      </w:r>
      <w:r w:rsidR="00962AFB">
        <w:rPr>
          <w:noProof/>
          <w:color w:val="auto"/>
        </w:rPr>
        <w:t>ing</w:t>
      </w:r>
      <w:r w:rsidR="00215B0C">
        <w:rPr>
          <w:noProof/>
          <w:color w:val="auto"/>
        </w:rPr>
        <w:t xml:space="preserve"> service providers to keep water tariffs low while still making a profit over time. This suggests that financial support from local government is important for sustainability.</w:t>
      </w:r>
    </w:p>
    <w:p w14:paraId="1C956D65" w14:textId="2E439054" w:rsidR="00962AFB" w:rsidRDefault="00751428" w:rsidP="00962AFB">
      <w:pPr>
        <w:pStyle w:val="WEDC-Bodytext-P2"/>
        <w:rPr>
          <w:noProof/>
          <w:color w:val="auto"/>
        </w:rPr>
      </w:pPr>
      <w:r w:rsidRPr="00215B0C">
        <w:rPr>
          <w:noProof/>
          <w:color w:val="auto"/>
        </w:rPr>
        <w:t>Only one community management committee had an arrangement with the district government. This committee was the only community provider managing a</w:t>
      </w:r>
      <w:r w:rsidR="004F5C85" w:rsidRPr="00215B0C">
        <w:rPr>
          <w:noProof/>
          <w:color w:val="auto"/>
        </w:rPr>
        <w:t xml:space="preserve"> system that could be assessed as functional</w:t>
      </w:r>
      <w:r w:rsidR="00BB331F" w:rsidRPr="00215B0C">
        <w:rPr>
          <w:noProof/>
          <w:color w:val="auto"/>
        </w:rPr>
        <w:t xml:space="preserve"> (Mangeregere</w:t>
      </w:r>
      <w:r w:rsidR="00215B0C" w:rsidRPr="00215B0C">
        <w:rPr>
          <w:noProof/>
          <w:color w:val="auto"/>
        </w:rPr>
        <w:t xml:space="preserve"> in Table 2, above</w:t>
      </w:r>
      <w:r w:rsidR="00BB331F" w:rsidRPr="00215B0C">
        <w:rPr>
          <w:noProof/>
          <w:color w:val="auto"/>
        </w:rPr>
        <w:t>)</w:t>
      </w:r>
      <w:r w:rsidR="004F5C85" w:rsidRPr="00215B0C">
        <w:rPr>
          <w:noProof/>
          <w:color w:val="auto"/>
        </w:rPr>
        <w:t xml:space="preserve">. </w:t>
      </w:r>
      <w:r w:rsidR="00D13C6A" w:rsidRPr="00215B0C">
        <w:rPr>
          <w:noProof/>
          <w:color w:val="auto"/>
        </w:rPr>
        <w:t>T</w:t>
      </w:r>
      <w:r w:rsidR="004F5C85" w:rsidRPr="00215B0C">
        <w:rPr>
          <w:noProof/>
          <w:color w:val="auto"/>
        </w:rPr>
        <w:t xml:space="preserve">he community management committee had </w:t>
      </w:r>
      <w:r w:rsidR="00023AA6" w:rsidRPr="00215B0C">
        <w:rPr>
          <w:noProof/>
          <w:color w:val="auto"/>
        </w:rPr>
        <w:t>established</w:t>
      </w:r>
      <w:r w:rsidR="004F5C85" w:rsidRPr="00215B0C">
        <w:rPr>
          <w:noProof/>
          <w:color w:val="auto"/>
        </w:rPr>
        <w:t xml:space="preserve"> a close rel</w:t>
      </w:r>
      <w:r w:rsidRPr="00215B0C">
        <w:rPr>
          <w:noProof/>
          <w:color w:val="auto"/>
        </w:rPr>
        <w:t>ationship with local government;</w:t>
      </w:r>
      <w:r w:rsidR="004F5C85" w:rsidRPr="00215B0C">
        <w:rPr>
          <w:noProof/>
          <w:color w:val="auto"/>
        </w:rPr>
        <w:t xml:space="preserve"> </w:t>
      </w:r>
      <w:r w:rsidRPr="00215B0C">
        <w:rPr>
          <w:noProof/>
          <w:color w:val="auto"/>
        </w:rPr>
        <w:t>b</w:t>
      </w:r>
      <w:r w:rsidR="004F5C85" w:rsidRPr="00215B0C">
        <w:rPr>
          <w:noProof/>
          <w:color w:val="auto"/>
        </w:rPr>
        <w:t>y agreement the local district office held all revenues collected by the committee and the technician</w:t>
      </w:r>
      <w:r w:rsidR="004F5C85" w:rsidRPr="002B14B4">
        <w:rPr>
          <w:noProof/>
          <w:color w:val="auto"/>
        </w:rPr>
        <w:t xml:space="preserve"> had to submit a bill of quantities to the district in order to receive funding for repairs. The committee had </w:t>
      </w:r>
      <w:r w:rsidR="0055136B" w:rsidRPr="002B14B4">
        <w:rPr>
          <w:noProof/>
          <w:color w:val="auto"/>
        </w:rPr>
        <w:t xml:space="preserve">built a reserve of RWF6 million </w:t>
      </w:r>
      <w:r w:rsidR="00F91A04">
        <w:rPr>
          <w:noProof/>
          <w:color w:val="auto"/>
        </w:rPr>
        <w:t xml:space="preserve">(roughly </w:t>
      </w:r>
      <w:r w:rsidR="00F91A04" w:rsidRPr="005C7A87">
        <w:rPr>
          <w:noProof/>
          <w:color w:val="auto"/>
        </w:rPr>
        <w:t>US$</w:t>
      </w:r>
      <w:r w:rsidR="00AB2A3E" w:rsidRPr="005C7A87">
        <w:rPr>
          <w:noProof/>
          <w:color w:val="auto"/>
        </w:rPr>
        <w:t xml:space="preserve"> 8,500) </w:t>
      </w:r>
      <w:r w:rsidR="0055136B" w:rsidRPr="005C7A87">
        <w:rPr>
          <w:noProof/>
          <w:color w:val="auto"/>
        </w:rPr>
        <w:t xml:space="preserve">and </w:t>
      </w:r>
      <w:r w:rsidR="00D13C6A" w:rsidRPr="005C7A87">
        <w:rPr>
          <w:noProof/>
          <w:color w:val="auto"/>
        </w:rPr>
        <w:t>was able to draw on financial support on a case by case basis</w:t>
      </w:r>
      <w:r w:rsidR="0055136B" w:rsidRPr="005C7A87">
        <w:rPr>
          <w:noProof/>
          <w:color w:val="auto"/>
        </w:rPr>
        <w:t>.</w:t>
      </w:r>
    </w:p>
    <w:p w14:paraId="7104B470" w14:textId="5CA808BF" w:rsidR="00962AFB" w:rsidRPr="005C7A87" w:rsidRDefault="00962AFB" w:rsidP="00962AFB">
      <w:pPr>
        <w:pStyle w:val="WEDC-Bodytext-P2"/>
        <w:rPr>
          <w:noProof/>
          <w:color w:val="auto"/>
        </w:rPr>
      </w:pPr>
      <w:r>
        <w:rPr>
          <w:noProof/>
          <w:color w:val="auto"/>
        </w:rPr>
        <w:t xml:space="preserve">These findings suggest that </w:t>
      </w:r>
      <w:r>
        <w:t>l</w:t>
      </w:r>
      <w:r w:rsidRPr="00215B0C">
        <w:t>ocal government support</w:t>
      </w:r>
      <w:r>
        <w:t xml:space="preserve"> can contribute to sustainability</w:t>
      </w:r>
      <w:r w:rsidRPr="00215B0C">
        <w:t xml:space="preserve"> </w:t>
      </w:r>
      <w:r>
        <w:t>by</w:t>
      </w:r>
      <w:r w:rsidRPr="00215B0C">
        <w:t xml:space="preserve"> cover</w:t>
      </w:r>
      <w:r>
        <w:t>ing</w:t>
      </w:r>
      <w:r w:rsidRPr="00215B0C">
        <w:t xml:space="preserve"> large maintenance and repair costs and assist</w:t>
      </w:r>
      <w:r>
        <w:t>ing</w:t>
      </w:r>
      <w:r w:rsidRPr="00215B0C">
        <w:t xml:space="preserve"> with planning.</w:t>
      </w:r>
    </w:p>
    <w:p w14:paraId="69132638" w14:textId="77777777" w:rsidR="00280DF4" w:rsidRPr="005C7A87" w:rsidRDefault="00280DF4" w:rsidP="00751428">
      <w:pPr>
        <w:pStyle w:val="WEDC-Bodytext-P2"/>
        <w:ind w:firstLine="0"/>
        <w:rPr>
          <w:noProof/>
          <w:color w:val="auto"/>
        </w:rPr>
      </w:pPr>
    </w:p>
    <w:p w14:paraId="0D2D081E" w14:textId="0ECA1260" w:rsidR="00280DF4" w:rsidRPr="005C7A87" w:rsidRDefault="00280DF4" w:rsidP="00280DF4">
      <w:pPr>
        <w:pStyle w:val="Heading1"/>
      </w:pPr>
      <w:r w:rsidRPr="005C7A87">
        <w:t>Conclusion</w:t>
      </w:r>
    </w:p>
    <w:p w14:paraId="1A888589" w14:textId="2DA8D40B" w:rsidR="00280DF4" w:rsidRPr="002B14B4" w:rsidRDefault="005C7A87" w:rsidP="00751428">
      <w:pPr>
        <w:pStyle w:val="WEDC-Bodytext-P2"/>
        <w:ind w:firstLine="0"/>
        <w:rPr>
          <w:noProof/>
          <w:color w:val="auto"/>
        </w:rPr>
      </w:pPr>
      <w:r w:rsidRPr="005C7A87">
        <w:rPr>
          <w:noProof/>
          <w:color w:val="auto"/>
        </w:rPr>
        <w:t xml:space="preserve">The study findings indicate that the source of energy for conveying water, the price of the water tariff and the degree of </w:t>
      </w:r>
      <w:r>
        <w:rPr>
          <w:noProof/>
          <w:color w:val="auto"/>
        </w:rPr>
        <w:t xml:space="preserve">support from local government are important factors that can determine the sustainability of a rural, small piped water service. </w:t>
      </w:r>
      <w:r w:rsidR="00393299">
        <w:rPr>
          <w:noProof/>
          <w:color w:val="auto"/>
        </w:rPr>
        <w:t xml:space="preserve">Program designs for new systems should assess the operational costs of different energy </w:t>
      </w:r>
      <w:r w:rsidR="00FD590E">
        <w:rPr>
          <w:noProof/>
          <w:color w:val="auto"/>
        </w:rPr>
        <w:t>sources for conveying water</w:t>
      </w:r>
      <w:r w:rsidR="00393299">
        <w:rPr>
          <w:noProof/>
          <w:color w:val="auto"/>
        </w:rPr>
        <w:t>, as well as consumer views on the acceptability of different tariff price points</w:t>
      </w:r>
      <w:r w:rsidR="00822EAF">
        <w:rPr>
          <w:noProof/>
          <w:color w:val="auto"/>
        </w:rPr>
        <w:t xml:space="preserve"> so as </w:t>
      </w:r>
      <w:r w:rsidR="00FD590E">
        <w:rPr>
          <w:noProof/>
          <w:color w:val="auto"/>
        </w:rPr>
        <w:t xml:space="preserve">to ensure that there will be sufficient demand for the service and sufficient revenue generated to cover </w:t>
      </w:r>
      <w:r w:rsidR="00FD590E" w:rsidRPr="00157D67">
        <w:rPr>
          <w:noProof/>
          <w:color w:val="auto"/>
        </w:rPr>
        <w:t>operation</w:t>
      </w:r>
      <w:r w:rsidR="00BB331F" w:rsidRPr="00157D67">
        <w:rPr>
          <w:noProof/>
          <w:color w:val="auto"/>
        </w:rPr>
        <w:t>s</w:t>
      </w:r>
      <w:r w:rsidR="00FD590E" w:rsidRPr="00157D67">
        <w:rPr>
          <w:noProof/>
          <w:color w:val="auto"/>
        </w:rPr>
        <w:t xml:space="preserve"> a</w:t>
      </w:r>
      <w:r w:rsidR="00FD590E">
        <w:rPr>
          <w:noProof/>
          <w:color w:val="auto"/>
        </w:rPr>
        <w:t>nd maintenance. Program managers should also consider whether the likely water tariff for the system will be sufficient to cover all post-construction costs, or whether a cost-sharing arrangement for major repairs, and possibly asset replacement, will be necessary. In the case of Rwanda, such an arrangement is demonstrably possible with local government and should be given due consideration.</w:t>
      </w:r>
    </w:p>
    <w:p w14:paraId="76A59B60" w14:textId="77E5D346" w:rsidR="00583676" w:rsidRPr="002B14B4" w:rsidRDefault="00583676" w:rsidP="00751428">
      <w:pPr>
        <w:pStyle w:val="WEDC-Bodytext-P2"/>
        <w:ind w:firstLine="0"/>
        <w:rPr>
          <w:noProof/>
          <w:color w:val="auto"/>
        </w:rPr>
      </w:pPr>
    </w:p>
    <w:p w14:paraId="4A46AA96" w14:textId="77777777" w:rsidR="00583676" w:rsidRPr="002B14B4" w:rsidRDefault="00583676" w:rsidP="003228E5">
      <w:pPr>
        <w:pStyle w:val="Heading1"/>
      </w:pPr>
      <w:r w:rsidRPr="002B14B4">
        <w:t>Limitations of the Study</w:t>
      </w:r>
    </w:p>
    <w:p w14:paraId="140B07F3" w14:textId="58151797" w:rsidR="003228E5" w:rsidRPr="002B14B4" w:rsidRDefault="003228E5" w:rsidP="00FD590E">
      <w:pPr>
        <w:pStyle w:val="WEDC-Bodytext-P2"/>
        <w:ind w:firstLine="0"/>
        <w:rPr>
          <w:bCs/>
        </w:rPr>
      </w:pPr>
      <w:r w:rsidRPr="00FD590E">
        <w:rPr>
          <w:noProof/>
          <w:color w:val="auto"/>
        </w:rPr>
        <w:t>Due</w:t>
      </w:r>
      <w:r w:rsidRPr="002B14B4">
        <w:rPr>
          <w:bCs/>
        </w:rPr>
        <w:t xml:space="preserve"> to time and cost constraints this study was limited to seven systems in Rwanda. A larger study of small piped water systems in Rwanda, with a representative sample size, would provide reliable data to further test </w:t>
      </w:r>
      <w:r w:rsidR="00AB2A3E">
        <w:rPr>
          <w:bCs/>
        </w:rPr>
        <w:t>the</w:t>
      </w:r>
      <w:r w:rsidR="00AB2A3E" w:rsidRPr="002B14B4">
        <w:rPr>
          <w:bCs/>
        </w:rPr>
        <w:t xml:space="preserve"> </w:t>
      </w:r>
      <w:r w:rsidR="000A1ED6" w:rsidRPr="002B14B4">
        <w:rPr>
          <w:bCs/>
        </w:rPr>
        <w:t>findings</w:t>
      </w:r>
      <w:r w:rsidRPr="002B14B4">
        <w:rPr>
          <w:bCs/>
        </w:rPr>
        <w:t>. Such a study may also provide sufficient data to indicate whether private operators are, in general, better able to maintain a service at appropriate standards (</w:t>
      </w:r>
      <w:r w:rsidR="000C2554" w:rsidRPr="002B14B4">
        <w:rPr>
          <w:bCs/>
        </w:rPr>
        <w:t>i.e.</w:t>
      </w:r>
      <w:r w:rsidRPr="002B14B4">
        <w:rPr>
          <w:bCs/>
        </w:rPr>
        <w:t xml:space="preserve"> functionality and water quality) over time.</w:t>
      </w:r>
    </w:p>
    <w:p w14:paraId="063CA563" w14:textId="77777777" w:rsidR="003228E5" w:rsidRPr="002B14B4" w:rsidRDefault="003228E5" w:rsidP="00171217">
      <w:pPr>
        <w:pStyle w:val="WEDC-Bodytext-P2"/>
        <w:rPr>
          <w:bCs/>
        </w:rPr>
      </w:pPr>
    </w:p>
    <w:p w14:paraId="67DC363E" w14:textId="17BA7B94" w:rsidR="003228E5" w:rsidRPr="00A440A0" w:rsidRDefault="003228E5" w:rsidP="00A440A0">
      <w:pPr>
        <w:pStyle w:val="Heading1"/>
      </w:pPr>
      <w:r w:rsidRPr="002B14B4">
        <w:t>Areas for Further Enquiry</w:t>
      </w:r>
    </w:p>
    <w:p w14:paraId="284AFE93" w14:textId="2A541C7A" w:rsidR="000A1ED6" w:rsidRPr="002B14B4" w:rsidRDefault="000A1ED6" w:rsidP="00A440A0">
      <w:pPr>
        <w:pStyle w:val="WEDC-Bodytext-P2"/>
        <w:ind w:firstLine="0"/>
        <w:rPr>
          <w:bCs/>
        </w:rPr>
      </w:pPr>
      <w:r w:rsidRPr="002B14B4">
        <w:rPr>
          <w:bCs/>
        </w:rPr>
        <w:t xml:space="preserve">The role of local government in providing </w:t>
      </w:r>
      <w:r w:rsidR="007D3339">
        <w:rPr>
          <w:bCs/>
        </w:rPr>
        <w:t>financial support</w:t>
      </w:r>
      <w:r w:rsidR="007D3339" w:rsidRPr="002B14B4">
        <w:rPr>
          <w:bCs/>
        </w:rPr>
        <w:t xml:space="preserve"> </w:t>
      </w:r>
      <w:r w:rsidRPr="002B14B4">
        <w:rPr>
          <w:bCs/>
        </w:rPr>
        <w:t>is worthy of further exploration. The findings from this study suggest that local government can act as a</w:t>
      </w:r>
      <w:r w:rsidR="005D0124">
        <w:rPr>
          <w:bCs/>
        </w:rPr>
        <w:t>n</w:t>
      </w:r>
      <w:r w:rsidRPr="002B14B4">
        <w:rPr>
          <w:bCs/>
        </w:rPr>
        <w:t xml:space="preserve"> insurance </w:t>
      </w:r>
      <w:r w:rsidR="005D0124">
        <w:rPr>
          <w:bCs/>
        </w:rPr>
        <w:t xml:space="preserve">provider </w:t>
      </w:r>
      <w:r w:rsidRPr="002B14B4">
        <w:rPr>
          <w:bCs/>
        </w:rPr>
        <w:t xml:space="preserve">for when major breakdowns occur. </w:t>
      </w:r>
      <w:r w:rsidRPr="00AB2A3E">
        <w:rPr>
          <w:bCs/>
        </w:rPr>
        <w:t>However,</w:t>
      </w:r>
      <w:r w:rsidRPr="002B14B4">
        <w:rPr>
          <w:bCs/>
        </w:rPr>
        <w:t xml:space="preserve"> at least in the Rwandan context, there is no formal policy on this and it remains unclear whether local </w:t>
      </w:r>
      <w:r w:rsidR="00F83852">
        <w:rPr>
          <w:bCs/>
        </w:rPr>
        <w:t xml:space="preserve">or national </w:t>
      </w:r>
      <w:r w:rsidRPr="002B14B4">
        <w:rPr>
          <w:bCs/>
        </w:rPr>
        <w:t>government will</w:t>
      </w:r>
      <w:r w:rsidR="00533F5B" w:rsidRPr="002B14B4">
        <w:rPr>
          <w:bCs/>
        </w:rPr>
        <w:t xml:space="preserve"> fund major breakdowns and long-</w:t>
      </w:r>
      <w:r w:rsidRPr="002B14B4">
        <w:rPr>
          <w:bCs/>
        </w:rPr>
        <w:t xml:space="preserve">term asset replacement. Such </w:t>
      </w:r>
      <w:r w:rsidR="007F09E7" w:rsidRPr="002B14B4">
        <w:rPr>
          <w:bCs/>
        </w:rPr>
        <w:t>costs do need to be planned for, however t</w:t>
      </w:r>
      <w:r w:rsidRPr="002B14B4">
        <w:rPr>
          <w:bCs/>
        </w:rPr>
        <w:t xml:space="preserve">he literature does not yet provide consensus on </w:t>
      </w:r>
      <w:r w:rsidRPr="00AB2A3E">
        <w:rPr>
          <w:bCs/>
        </w:rPr>
        <w:t>who should cover those costs</w:t>
      </w:r>
      <w:r w:rsidRPr="002B14B4">
        <w:rPr>
          <w:bCs/>
        </w:rPr>
        <w:t>.</w:t>
      </w:r>
      <w:r w:rsidR="00F83852">
        <w:rPr>
          <w:bCs/>
        </w:rPr>
        <w:t xml:space="preserve"> The study findings concerning </w:t>
      </w:r>
      <w:r w:rsidR="004F2ED3">
        <w:rPr>
          <w:bCs/>
        </w:rPr>
        <w:t xml:space="preserve">operational costs and </w:t>
      </w:r>
      <w:r w:rsidR="00F83852">
        <w:rPr>
          <w:bCs/>
        </w:rPr>
        <w:t xml:space="preserve">price elasticity suggest that relying solely on water tariffs to cover life cycle costs </w:t>
      </w:r>
      <w:r w:rsidR="004F2ED3">
        <w:rPr>
          <w:bCs/>
        </w:rPr>
        <w:t>may not be possible for all system designs</w:t>
      </w:r>
      <w:r w:rsidR="00F83852">
        <w:rPr>
          <w:bCs/>
        </w:rPr>
        <w:t>.</w:t>
      </w:r>
    </w:p>
    <w:p w14:paraId="7CFA94E6" w14:textId="792FA930" w:rsidR="00673AD3" w:rsidRPr="002B14B4" w:rsidRDefault="003228E5" w:rsidP="00280DF4">
      <w:pPr>
        <w:pStyle w:val="WEDC-Bodytext-P2"/>
        <w:rPr>
          <w:bCs/>
        </w:rPr>
      </w:pPr>
      <w:r w:rsidRPr="002B14B4">
        <w:rPr>
          <w:bCs/>
        </w:rPr>
        <w:t>Issues concerning economies of scale and the price elasticity of demand for water suggests that local government and service providers would benefit from the use of a business modelling tool that can predict likely profit margins at different tariff price points for a system when the operations and maintenance costs (driven by pipeline length, the system energy sources, the number of water points, labour costs and related factors) are known or can be reliably predicted. Such a tool would need to forecast potential profit margins over at least a five year period in order to accommodate possible breakdowns over time.</w:t>
      </w:r>
    </w:p>
    <w:p w14:paraId="5294A248" w14:textId="77777777" w:rsidR="00F17CC1" w:rsidRPr="002B14B4" w:rsidRDefault="00F17CC1" w:rsidP="00A440A0">
      <w:pPr>
        <w:pStyle w:val="WEDC-Figuretitle"/>
        <w:jc w:val="both"/>
      </w:pPr>
    </w:p>
    <w:p w14:paraId="6BE09B62" w14:textId="77777777" w:rsidR="005D0124" w:rsidRDefault="005D0124" w:rsidP="00A440A0">
      <w:pPr>
        <w:pStyle w:val="WEDC-Referencesheading"/>
        <w:pBdr>
          <w:top w:val="none" w:sz="0" w:space="0" w:color="auto"/>
          <w:between w:val="none" w:sz="0" w:space="0" w:color="auto"/>
        </w:pBdr>
      </w:pPr>
    </w:p>
    <w:p w14:paraId="2B22760E" w14:textId="77777777" w:rsidR="00F17CC1" w:rsidRPr="002B14B4" w:rsidRDefault="00F17CC1">
      <w:pPr>
        <w:pStyle w:val="WEDC-Referencesheading"/>
      </w:pPr>
      <w:r w:rsidRPr="002B14B4">
        <w:lastRenderedPageBreak/>
        <w:t>Acknowledgements</w:t>
      </w:r>
    </w:p>
    <w:p w14:paraId="6417BF04" w14:textId="02201A02" w:rsidR="00F17CC1" w:rsidRPr="002B14B4" w:rsidRDefault="001933CE">
      <w:pPr>
        <w:pStyle w:val="WEDC-Bodytext-P1"/>
        <w:rPr>
          <w:color w:val="F79646" w:themeColor="accent6"/>
        </w:rPr>
      </w:pPr>
      <w:r w:rsidRPr="002B14B4">
        <w:t>The author</w:t>
      </w:r>
      <w:r w:rsidR="00F17CC1" w:rsidRPr="002B14B4">
        <w:t>s wo</w:t>
      </w:r>
      <w:r w:rsidRPr="002B14B4">
        <w:t xml:space="preserve">uld like to extend thanks to the Rwandan Red </w:t>
      </w:r>
      <w:r w:rsidR="00751428" w:rsidRPr="002B14B4">
        <w:t>Cross Society for supporting this</w:t>
      </w:r>
      <w:r w:rsidRPr="002B14B4">
        <w:t xml:space="preserve"> study. </w:t>
      </w:r>
    </w:p>
    <w:p w14:paraId="64A8F6A2" w14:textId="47E30917" w:rsidR="004F2ED3" w:rsidRDefault="004F2E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rPr>
          <w:rFonts w:ascii="Arial" w:hAnsi="Arial" w:cs="Arial"/>
          <w:b/>
          <w:bCs w:val="0"/>
          <w:szCs w:val="20"/>
          <w:lang w:val="en-GB"/>
        </w:rPr>
      </w:pPr>
    </w:p>
    <w:p w14:paraId="0FDCB417" w14:textId="674F34C9" w:rsidR="00F17CC1" w:rsidRPr="002B14B4" w:rsidRDefault="00F17CC1" w:rsidP="00AC7CB7">
      <w:pPr>
        <w:pStyle w:val="WEDC-Referencesheading"/>
      </w:pPr>
      <w:r w:rsidRPr="002B14B4">
        <w:t>References</w:t>
      </w:r>
    </w:p>
    <w:p w14:paraId="20F597EC" w14:textId="77777777" w:rsidR="00AC7CB7" w:rsidRPr="002B14B4" w:rsidRDefault="00AC7CB7">
      <w:pPr>
        <w:pStyle w:val="WEDC-References"/>
      </w:pPr>
      <w:r w:rsidRPr="002B14B4">
        <w:rPr>
          <w:noProof/>
        </w:rPr>
        <w:t xml:space="preserve">AfDB (2010) </w:t>
      </w:r>
      <w:r w:rsidRPr="002B14B4">
        <w:rPr>
          <w:i/>
          <w:noProof/>
        </w:rPr>
        <w:t>Guidelines for User Fees and Cost Recovery for Rural, Non-Networked, Water and Sanitation Delivery</w:t>
      </w:r>
      <w:r w:rsidRPr="002B14B4">
        <w:rPr>
          <w:noProof/>
        </w:rPr>
        <w:t>. The African Development Bank: Tunisia.</w:t>
      </w:r>
    </w:p>
    <w:p w14:paraId="2C1492D2" w14:textId="4FD237A7" w:rsidR="006F4DF3" w:rsidRPr="002B14B4" w:rsidRDefault="006F4DF3">
      <w:pPr>
        <w:pStyle w:val="WEDC-References"/>
        <w:rPr>
          <w:noProof/>
        </w:rPr>
      </w:pPr>
      <w:r w:rsidRPr="002B14B4">
        <w:rPr>
          <w:noProof/>
        </w:rPr>
        <w:t xml:space="preserve">Ansoms, A. and Rostagno, D. (2012) </w:t>
      </w:r>
      <w:r w:rsidRPr="002B14B4">
        <w:rPr>
          <w:i/>
          <w:noProof/>
        </w:rPr>
        <w:t>Rwanda's Vision 2020 halfway through: what the eye does not see</w:t>
      </w:r>
      <w:r w:rsidRPr="002B14B4">
        <w:rPr>
          <w:noProof/>
        </w:rPr>
        <w:t>. Review of African Political Economy  Vol 39</w:t>
      </w:r>
      <w:r w:rsidR="00B25F67">
        <w:rPr>
          <w:noProof/>
        </w:rPr>
        <w:t>,</w:t>
      </w:r>
      <w:r w:rsidRPr="002B14B4">
        <w:rPr>
          <w:noProof/>
        </w:rPr>
        <w:t xml:space="preserve"> No 133</w:t>
      </w:r>
      <w:r w:rsidR="00B25F67">
        <w:rPr>
          <w:noProof/>
        </w:rPr>
        <w:t xml:space="preserve">, </w:t>
      </w:r>
      <w:r w:rsidR="004C4642">
        <w:rPr>
          <w:noProof/>
        </w:rPr>
        <w:t xml:space="preserve"> pp</w:t>
      </w:r>
      <w:r w:rsidR="00B25F67">
        <w:rPr>
          <w:noProof/>
        </w:rPr>
        <w:t xml:space="preserve">. </w:t>
      </w:r>
      <w:r w:rsidR="004C4642">
        <w:rPr>
          <w:noProof/>
        </w:rPr>
        <w:t>427</w:t>
      </w:r>
      <w:r w:rsidR="00B25F67">
        <w:rPr>
          <w:noProof/>
        </w:rPr>
        <w:t>‒</w:t>
      </w:r>
      <w:r w:rsidR="004C4642">
        <w:rPr>
          <w:noProof/>
        </w:rPr>
        <w:t>450</w:t>
      </w:r>
      <w:r w:rsidRPr="002B14B4">
        <w:rPr>
          <w:noProof/>
        </w:rPr>
        <w:t>.</w:t>
      </w:r>
    </w:p>
    <w:p w14:paraId="19002F28" w14:textId="74EA5F8A" w:rsidR="00814DCC" w:rsidRPr="001036FA" w:rsidRDefault="00814DCC" w:rsidP="00814DCC">
      <w:pPr>
        <w:pStyle w:val="WEDC-References"/>
        <w:rPr>
          <w:noProof/>
        </w:rPr>
      </w:pPr>
      <w:r w:rsidRPr="002B14B4">
        <w:rPr>
          <w:noProof/>
        </w:rPr>
        <w:t xml:space="preserve">de Albuquerque, C. (2014) </w:t>
      </w:r>
      <w:r w:rsidRPr="002B14B4">
        <w:rPr>
          <w:i/>
          <w:noProof/>
        </w:rPr>
        <w:t xml:space="preserve">Realising The Human Rights To Water And Sanitation: A Handbook By The </w:t>
      </w:r>
      <w:r w:rsidRPr="001036FA">
        <w:rPr>
          <w:i/>
          <w:noProof/>
        </w:rPr>
        <w:t>UN Special Rapporteur.</w:t>
      </w:r>
      <w:r w:rsidRPr="001036FA">
        <w:rPr>
          <w:noProof/>
        </w:rPr>
        <w:t xml:space="preserve"> UN Special Rapporteur on the human right to safe drinking water and sanitation: Portugal.</w:t>
      </w:r>
    </w:p>
    <w:p w14:paraId="2A31217A" w14:textId="1DB03297" w:rsidR="00AB2225" w:rsidRPr="001036FA" w:rsidRDefault="001036FA" w:rsidP="00622C62">
      <w:pPr>
        <w:pStyle w:val="WEDC-References"/>
        <w:rPr>
          <w:noProof/>
        </w:rPr>
      </w:pPr>
      <w:r>
        <w:rPr>
          <w:noProof/>
        </w:rPr>
        <w:t>Ministry of Infrastructure</w:t>
      </w:r>
      <w:r w:rsidR="00264507" w:rsidRPr="001036FA">
        <w:rPr>
          <w:noProof/>
        </w:rPr>
        <w:t xml:space="preserve"> (2010</w:t>
      </w:r>
      <w:r w:rsidR="00AB2225" w:rsidRPr="001036FA">
        <w:rPr>
          <w:noProof/>
        </w:rPr>
        <w:t xml:space="preserve">) </w:t>
      </w:r>
      <w:r w:rsidR="00264507" w:rsidRPr="001036FA">
        <w:rPr>
          <w:i/>
          <w:noProof/>
        </w:rPr>
        <w:t>National Policy and Strategy for Water Supply and Sanitation Services</w:t>
      </w:r>
      <w:r w:rsidR="00AB2225" w:rsidRPr="001036FA">
        <w:rPr>
          <w:noProof/>
        </w:rPr>
        <w:t xml:space="preserve">. </w:t>
      </w:r>
      <w:r w:rsidRPr="001036FA">
        <w:rPr>
          <w:noProof/>
        </w:rPr>
        <w:t>Ministry of Infrastructure</w:t>
      </w:r>
      <w:r>
        <w:rPr>
          <w:noProof/>
        </w:rPr>
        <w:t>, Republic of Rwanda</w:t>
      </w:r>
      <w:r w:rsidR="00AB2225" w:rsidRPr="001036FA">
        <w:rPr>
          <w:noProof/>
        </w:rPr>
        <w:t>: Kigali.</w:t>
      </w:r>
    </w:p>
    <w:p w14:paraId="024F2C95" w14:textId="7BA39812" w:rsidR="00622C62" w:rsidRPr="002B14B4" w:rsidRDefault="00622C62" w:rsidP="00622C62">
      <w:pPr>
        <w:pStyle w:val="WEDC-References"/>
        <w:rPr>
          <w:noProof/>
        </w:rPr>
      </w:pPr>
      <w:r w:rsidRPr="001036FA">
        <w:rPr>
          <w:noProof/>
        </w:rPr>
        <w:t>Fonseca, C., Franceys, R., Batchelor, C., McIntyre, P., Klutse, A., Komives, K., Moriarty, P., Naafs, A.,  N</w:t>
      </w:r>
      <w:r w:rsidR="00DD3246" w:rsidRPr="001036FA">
        <w:rPr>
          <w:noProof/>
        </w:rPr>
        <w:t>yarko, K,</w:t>
      </w:r>
      <w:r w:rsidRPr="001036FA">
        <w:rPr>
          <w:noProof/>
        </w:rPr>
        <w:t xml:space="preserve">., Pezon, C., Potter, A., Reddy, R. and Snehalatha, M. (2011) </w:t>
      </w:r>
      <w:r w:rsidRPr="001036FA">
        <w:rPr>
          <w:i/>
          <w:noProof/>
        </w:rPr>
        <w:t>Briefing Note 1a: Life-Cycle costs approach</w:t>
      </w:r>
      <w:r w:rsidRPr="001036FA">
        <w:rPr>
          <w:noProof/>
        </w:rPr>
        <w:t>. IRC International Water</w:t>
      </w:r>
      <w:r w:rsidRPr="002B14B4">
        <w:rPr>
          <w:noProof/>
        </w:rPr>
        <w:t xml:space="preserve"> and Sanitation Centre: The Hague.</w:t>
      </w:r>
    </w:p>
    <w:p w14:paraId="08D1E9BE" w14:textId="6E19CFC7" w:rsidR="00AC7CB7" w:rsidRPr="002B14B4" w:rsidRDefault="00463881">
      <w:pPr>
        <w:pStyle w:val="WEDC-References"/>
        <w:rPr>
          <w:noProof/>
        </w:rPr>
      </w:pPr>
      <w:r w:rsidRPr="002B14B4">
        <w:rPr>
          <w:noProof/>
        </w:rPr>
        <w:t xml:space="preserve">Harvey, P. (2007) </w:t>
      </w:r>
      <w:r w:rsidRPr="002B14B4">
        <w:rPr>
          <w:i/>
          <w:noProof/>
        </w:rPr>
        <w:t>Cost determination and sustainable fincancing for rural water services in Sub-Saharan Africa</w:t>
      </w:r>
      <w:r w:rsidRPr="002B14B4">
        <w:rPr>
          <w:noProof/>
        </w:rPr>
        <w:t>. Water Policy Vol. 9</w:t>
      </w:r>
      <w:r w:rsidR="00D86B32">
        <w:rPr>
          <w:noProof/>
        </w:rPr>
        <w:t>, pp. 373‒391</w:t>
      </w:r>
      <w:r w:rsidRPr="002B14B4">
        <w:rPr>
          <w:noProof/>
        </w:rPr>
        <w:t>.</w:t>
      </w:r>
    </w:p>
    <w:p w14:paraId="1F94B967" w14:textId="03D12E4E" w:rsidR="00FB028B" w:rsidRPr="002B14B4" w:rsidRDefault="00FB028B" w:rsidP="00FB028B">
      <w:pPr>
        <w:pStyle w:val="WEDC-References"/>
        <w:rPr>
          <w:noProof/>
        </w:rPr>
      </w:pPr>
      <w:r w:rsidRPr="002B14B4">
        <w:rPr>
          <w:noProof/>
        </w:rPr>
        <w:t xml:space="preserve">Kleemeier, E. and Narkevic, J. (2010) </w:t>
      </w:r>
      <w:r w:rsidRPr="002B14B4">
        <w:rPr>
          <w:i/>
          <w:noProof/>
        </w:rPr>
        <w:t>Private Operator Models for Community Water Supply</w:t>
      </w:r>
      <w:r w:rsidRPr="002B14B4">
        <w:rPr>
          <w:noProof/>
        </w:rPr>
        <w:t xml:space="preserve">. </w:t>
      </w:r>
      <w:r w:rsidR="00D86B32">
        <w:rPr>
          <w:noProof/>
        </w:rPr>
        <w:t xml:space="preserve">Field Note: Rural Water Supply Series. </w:t>
      </w:r>
      <w:r w:rsidRPr="002B14B4">
        <w:rPr>
          <w:noProof/>
        </w:rPr>
        <w:t>Water and Sanitation Program</w:t>
      </w:r>
      <w:r w:rsidR="00D86B32">
        <w:rPr>
          <w:noProof/>
        </w:rPr>
        <w:t>, The World Bank</w:t>
      </w:r>
      <w:r w:rsidRPr="002B14B4">
        <w:rPr>
          <w:noProof/>
        </w:rPr>
        <w:t xml:space="preserve">: </w:t>
      </w:r>
      <w:r w:rsidR="00D86B32">
        <w:rPr>
          <w:noProof/>
        </w:rPr>
        <w:t>Nairobi</w:t>
      </w:r>
      <w:r w:rsidRPr="002B14B4">
        <w:rPr>
          <w:noProof/>
        </w:rPr>
        <w:t>.</w:t>
      </w:r>
    </w:p>
    <w:p w14:paraId="6CF44798" w14:textId="7DC781B8" w:rsidR="009C264C" w:rsidRPr="002B14B4" w:rsidRDefault="009C264C" w:rsidP="00622C62">
      <w:pPr>
        <w:pStyle w:val="WEDC-References"/>
        <w:rPr>
          <w:noProof/>
        </w:rPr>
      </w:pPr>
      <w:r w:rsidRPr="002B14B4">
        <w:rPr>
          <w:noProof/>
        </w:rPr>
        <w:t xml:space="preserve">Lockwood, H. and Smits, S. (2011) </w:t>
      </w:r>
      <w:r w:rsidRPr="002B14B4">
        <w:rPr>
          <w:i/>
          <w:noProof/>
        </w:rPr>
        <w:t>Supporting Rural Water Supply: Moving towards a service delivery approach.</w:t>
      </w:r>
      <w:r w:rsidRPr="002B14B4">
        <w:rPr>
          <w:noProof/>
        </w:rPr>
        <w:t xml:space="preserve"> </w:t>
      </w:r>
      <w:r w:rsidR="00D86B32" w:rsidRPr="00D86B32">
        <w:rPr>
          <w:noProof/>
        </w:rPr>
        <w:t>IRC/Aguaconsult</w:t>
      </w:r>
      <w:r w:rsidR="00D86B32">
        <w:rPr>
          <w:noProof/>
        </w:rPr>
        <w:t xml:space="preserve">, </w:t>
      </w:r>
      <w:r w:rsidRPr="002B14B4">
        <w:rPr>
          <w:noProof/>
        </w:rPr>
        <w:t>Practical Action</w:t>
      </w:r>
      <w:r w:rsidR="00D86B32">
        <w:rPr>
          <w:noProof/>
        </w:rPr>
        <w:t xml:space="preserve"> Publishing Ltd</w:t>
      </w:r>
      <w:r w:rsidRPr="002B14B4">
        <w:rPr>
          <w:noProof/>
        </w:rPr>
        <w:t>: Rugby.</w:t>
      </w:r>
    </w:p>
    <w:p w14:paraId="134B8808" w14:textId="0AEA194A" w:rsidR="00AB2225" w:rsidRPr="002B14B4" w:rsidRDefault="00AB2225" w:rsidP="00AB2225">
      <w:pPr>
        <w:pStyle w:val="WEDC-References"/>
        <w:rPr>
          <w:noProof/>
        </w:rPr>
      </w:pPr>
      <w:r w:rsidRPr="002B14B4">
        <w:rPr>
          <w:noProof/>
        </w:rPr>
        <w:t xml:space="preserve">McIntyre, P., Casella, D., Fonseca, C. and Burr, P. (2014) </w:t>
      </w:r>
      <w:r w:rsidRPr="002B14B4">
        <w:rPr>
          <w:i/>
          <w:noProof/>
        </w:rPr>
        <w:t>Priceless! Uncovering the real costs of water and sanitation.</w:t>
      </w:r>
      <w:r w:rsidRPr="002B14B4">
        <w:rPr>
          <w:noProof/>
        </w:rPr>
        <w:t xml:space="preserve"> IRC International Water and Sanitation Centre: The Hague.</w:t>
      </w:r>
    </w:p>
    <w:p w14:paraId="54006AEA" w14:textId="33D3D100" w:rsidR="00622C62" w:rsidRPr="002B14B4" w:rsidRDefault="00622C62" w:rsidP="00622C62">
      <w:pPr>
        <w:pStyle w:val="WEDC-References"/>
        <w:rPr>
          <w:noProof/>
        </w:rPr>
      </w:pPr>
      <w:r w:rsidRPr="002B14B4">
        <w:rPr>
          <w:noProof/>
        </w:rPr>
        <w:t xml:space="preserve">Narayan, D. (1995) </w:t>
      </w:r>
      <w:r w:rsidRPr="002B14B4">
        <w:rPr>
          <w:i/>
          <w:noProof/>
        </w:rPr>
        <w:t>The contribution of people's participation: evidence from 121 rural water supply projects</w:t>
      </w:r>
      <w:r w:rsidRPr="002B14B4">
        <w:rPr>
          <w:noProof/>
        </w:rPr>
        <w:t>. The World Bank: Washington, D. C.</w:t>
      </w:r>
    </w:p>
    <w:p w14:paraId="34047F18" w14:textId="51D8F324" w:rsidR="00724020" w:rsidRPr="002B14B4" w:rsidRDefault="00724020" w:rsidP="00724020">
      <w:pPr>
        <w:pStyle w:val="WEDC-References"/>
        <w:rPr>
          <w:noProof/>
        </w:rPr>
      </w:pPr>
      <w:r w:rsidRPr="002B14B4">
        <w:rPr>
          <w:noProof/>
        </w:rPr>
        <w:t>Pr</w:t>
      </w:r>
      <w:r w:rsidR="0006232E">
        <w:rPr>
          <w:noProof/>
        </w:rPr>
        <w:t>e</w:t>
      </w:r>
      <w:r w:rsidRPr="002B14B4">
        <w:rPr>
          <w:noProof/>
        </w:rPr>
        <w:t xml:space="preserve">vost, C., Mwanafunzi, B. and Jain, N. (2010) </w:t>
      </w:r>
      <w:r w:rsidRPr="002B14B4">
        <w:rPr>
          <w:i/>
          <w:noProof/>
        </w:rPr>
        <w:t>IFC SmartLessons</w:t>
      </w:r>
      <w:r w:rsidR="0006232E">
        <w:rPr>
          <w:i/>
          <w:noProof/>
        </w:rPr>
        <w:t xml:space="preserve"> ‒ November 2010</w:t>
      </w:r>
      <w:r w:rsidRPr="002B14B4">
        <w:rPr>
          <w:i/>
          <w:noProof/>
        </w:rPr>
        <w:t>: Improving Rural Water Service in Rwanda</w:t>
      </w:r>
      <w:r w:rsidRPr="002B14B4">
        <w:rPr>
          <w:noProof/>
        </w:rPr>
        <w:t xml:space="preserve"> </w:t>
      </w:r>
      <w:r w:rsidRPr="002B14B4">
        <w:rPr>
          <w:i/>
          <w:noProof/>
        </w:rPr>
        <w:t xml:space="preserve">with Public-Private Partnerships. </w:t>
      </w:r>
      <w:r w:rsidRPr="002B14B4">
        <w:rPr>
          <w:noProof/>
        </w:rPr>
        <w:t>IFC: Washington, D.C.</w:t>
      </w:r>
    </w:p>
    <w:p w14:paraId="4BAF0CDD" w14:textId="71DD6F7C" w:rsidR="00BA00AF" w:rsidRPr="002B14B4" w:rsidRDefault="00BA00AF">
      <w:pPr>
        <w:pStyle w:val="WEDC-References"/>
        <w:rPr>
          <w:noProof/>
        </w:rPr>
      </w:pPr>
      <w:r w:rsidRPr="002B14B4">
        <w:rPr>
          <w:noProof/>
        </w:rPr>
        <w:t xml:space="preserve">UNDP (2013) </w:t>
      </w:r>
      <w:r w:rsidR="005B327E" w:rsidRPr="005B327E">
        <w:rPr>
          <w:i/>
          <w:noProof/>
        </w:rPr>
        <w:t>Human Development Report 2013.</w:t>
      </w:r>
      <w:r w:rsidR="005B327E">
        <w:rPr>
          <w:noProof/>
        </w:rPr>
        <w:t xml:space="preserve"> </w:t>
      </w:r>
      <w:r w:rsidRPr="002B14B4">
        <w:rPr>
          <w:i/>
          <w:noProof/>
        </w:rPr>
        <w:t>The Rise of the South: Human Progress in a Diverse World</w:t>
      </w:r>
      <w:r w:rsidRPr="002B14B4">
        <w:rPr>
          <w:noProof/>
        </w:rPr>
        <w:t>. United Nations Development Program: New York.</w:t>
      </w:r>
    </w:p>
    <w:p w14:paraId="7800C98E" w14:textId="0AF47BF5" w:rsidR="009F5452" w:rsidRPr="002B14B4" w:rsidRDefault="009F5452">
      <w:pPr>
        <w:pStyle w:val="WEDC-References"/>
        <w:rPr>
          <w:noProof/>
        </w:rPr>
      </w:pPr>
      <w:r w:rsidRPr="002B14B4">
        <w:rPr>
          <w:noProof/>
        </w:rPr>
        <w:t xml:space="preserve">UN Water (2014) </w:t>
      </w:r>
      <w:r w:rsidRPr="002B14B4">
        <w:rPr>
          <w:i/>
          <w:noProof/>
        </w:rPr>
        <w:t>Investing in Water and Sanitation: Increasing Access, Reducing Inequalities</w:t>
      </w:r>
      <w:r w:rsidRPr="002B14B4">
        <w:rPr>
          <w:noProof/>
        </w:rPr>
        <w:t>. World Health Organization: Geneva.</w:t>
      </w:r>
    </w:p>
    <w:p w14:paraId="51413AE1" w14:textId="60440B3E" w:rsidR="0089273C" w:rsidRPr="002B14B4" w:rsidRDefault="0089273C">
      <w:pPr>
        <w:pStyle w:val="WEDC-References"/>
      </w:pPr>
      <w:r w:rsidRPr="002B14B4">
        <w:rPr>
          <w:noProof/>
        </w:rPr>
        <w:t xml:space="preserve">WaterAid (2011) </w:t>
      </w:r>
      <w:r w:rsidRPr="002B14B4">
        <w:rPr>
          <w:i/>
          <w:noProof/>
        </w:rPr>
        <w:t xml:space="preserve">Sustainability framework. </w:t>
      </w:r>
      <w:r w:rsidRPr="002B14B4">
        <w:rPr>
          <w:noProof/>
        </w:rPr>
        <w:t>WaterAid: London.</w:t>
      </w:r>
    </w:p>
    <w:p w14:paraId="2275763E" w14:textId="44B57E1F" w:rsidR="00727A5F" w:rsidRPr="002B14B4" w:rsidRDefault="00727A5F">
      <w:pPr>
        <w:pStyle w:val="WEDC-References"/>
        <w:rPr>
          <w:noProof/>
        </w:rPr>
      </w:pPr>
      <w:r w:rsidRPr="002B14B4">
        <w:rPr>
          <w:noProof/>
        </w:rPr>
        <w:t xml:space="preserve">Water and Sanitation Program (2011) </w:t>
      </w:r>
      <w:r w:rsidRPr="002B14B4">
        <w:rPr>
          <w:i/>
          <w:noProof/>
        </w:rPr>
        <w:t>Water Supply and Sanitation in Rwanda: Turning Finance into Services for 2015 and Beyond</w:t>
      </w:r>
      <w:r w:rsidRPr="002B14B4">
        <w:rPr>
          <w:noProof/>
        </w:rPr>
        <w:t>. The World Bank: Washington</w:t>
      </w:r>
      <w:r w:rsidR="00724020" w:rsidRPr="002B14B4">
        <w:rPr>
          <w:noProof/>
        </w:rPr>
        <w:t>, D.C</w:t>
      </w:r>
      <w:r w:rsidRPr="002B14B4">
        <w:rPr>
          <w:noProof/>
        </w:rPr>
        <w:t>.</w:t>
      </w:r>
    </w:p>
    <w:p w14:paraId="4E7CB1F7" w14:textId="2D702DEE" w:rsidR="00AC7CB7" w:rsidRPr="002B14B4" w:rsidRDefault="008C1386">
      <w:pPr>
        <w:pStyle w:val="WEDC-References"/>
        <w:rPr>
          <w:noProof/>
        </w:rPr>
      </w:pPr>
      <w:r w:rsidRPr="002B14B4">
        <w:rPr>
          <w:noProof/>
        </w:rPr>
        <w:t xml:space="preserve">Water Services that Last (2012) </w:t>
      </w:r>
      <w:r w:rsidRPr="002B14B4">
        <w:rPr>
          <w:i/>
          <w:noProof/>
        </w:rPr>
        <w:t>Public-Private Partnerships for Rural Water Services</w:t>
      </w:r>
      <w:r w:rsidRPr="002B14B4">
        <w:rPr>
          <w:noProof/>
        </w:rPr>
        <w:t xml:space="preserve">. </w:t>
      </w:r>
      <w:r w:rsidR="00BD473E">
        <w:rPr>
          <w:noProof/>
        </w:rPr>
        <w:t>Briefing Note No. 4.</w:t>
      </w:r>
      <w:r w:rsidRPr="002B14B4">
        <w:rPr>
          <w:noProof/>
        </w:rPr>
        <w:t xml:space="preserve"> IRC International Water and Sanitation Centre: The Hague.</w:t>
      </w:r>
    </w:p>
    <w:p w14:paraId="5A427D7A" w14:textId="22B5EB40" w:rsidR="00F17CC1" w:rsidRPr="002B14B4" w:rsidRDefault="009C37D4" w:rsidP="005D0124">
      <w:pPr>
        <w:pStyle w:val="WEDC-References"/>
      </w:pPr>
      <w:r w:rsidRPr="002B14B4">
        <w:rPr>
          <w:noProof/>
        </w:rPr>
        <w:t xml:space="preserve">WHO and UNICEF (2014) </w:t>
      </w:r>
      <w:r w:rsidRPr="002B14B4">
        <w:rPr>
          <w:i/>
          <w:noProof/>
        </w:rPr>
        <w:t>Progress on Drinking Water and Sanitat</w:t>
      </w:r>
      <w:r w:rsidR="00BD473E">
        <w:rPr>
          <w:i/>
          <w:noProof/>
        </w:rPr>
        <w:t>i</w:t>
      </w:r>
      <w:r w:rsidRPr="002B14B4">
        <w:rPr>
          <w:i/>
          <w:noProof/>
        </w:rPr>
        <w:t>on - 2014 Update</w:t>
      </w:r>
      <w:r w:rsidRPr="002B14B4">
        <w:rPr>
          <w:noProof/>
        </w:rPr>
        <w:t>. World Health Organisation: Geneva.</w:t>
      </w:r>
    </w:p>
    <w:p w14:paraId="43D4A3BC" w14:textId="67443E1A" w:rsidR="00F17CC1" w:rsidRPr="002B14B4" w:rsidRDefault="00AB2225">
      <w:pPr>
        <w:pStyle w:val="WEDC-Referencesheading"/>
        <w:rPr>
          <w:bCs/>
        </w:rPr>
      </w:pPr>
      <w:r w:rsidRPr="002B14B4">
        <w:t>Note</w:t>
      </w:r>
      <w:r w:rsidR="00F17CC1" w:rsidRPr="002B14B4">
        <w:t>s</w:t>
      </w:r>
    </w:p>
    <w:p w14:paraId="4F9A4B26" w14:textId="670FFB67" w:rsidR="00961ADB" w:rsidRDefault="00961ADB">
      <w:pPr>
        <w:pStyle w:val="WEDC-Bodytext-P1"/>
        <w:rPr>
          <w:color w:val="auto"/>
        </w:rPr>
      </w:pPr>
      <w:r w:rsidRPr="002B14B4">
        <w:rPr>
          <w:vertAlign w:val="superscript"/>
        </w:rPr>
        <w:t xml:space="preserve">1 </w:t>
      </w:r>
      <w:r w:rsidRPr="002B14B4">
        <w:t xml:space="preserve">Only 2% of water supply sources are hand pumps in </w:t>
      </w:r>
      <w:r w:rsidRPr="002B14B4">
        <w:rPr>
          <w:color w:val="auto"/>
        </w:rPr>
        <w:t>Rwanda. The majority (46%) are protected springs, followed by unprotected sources (32%) and piped water (20%)</w:t>
      </w:r>
      <w:r w:rsidR="0085424B" w:rsidRPr="002B14B4">
        <w:rPr>
          <w:color w:val="auto"/>
        </w:rPr>
        <w:t xml:space="preserve"> (</w:t>
      </w:r>
      <w:r w:rsidR="001036FA">
        <w:rPr>
          <w:color w:val="auto"/>
        </w:rPr>
        <w:t>Ministry of Infrastructure</w:t>
      </w:r>
      <w:r w:rsidR="00E7690D" w:rsidRPr="002B14B4">
        <w:rPr>
          <w:color w:val="auto"/>
        </w:rPr>
        <w:t>, 2010</w:t>
      </w:r>
      <w:r w:rsidR="0085424B" w:rsidRPr="002B14B4">
        <w:rPr>
          <w:color w:val="auto"/>
        </w:rPr>
        <w:t>)</w:t>
      </w:r>
      <w:r w:rsidRPr="002B14B4">
        <w:rPr>
          <w:color w:val="auto"/>
        </w:rPr>
        <w:t>.</w:t>
      </w:r>
      <w:r w:rsidR="00E7690D" w:rsidRPr="002B14B4">
        <w:rPr>
          <w:color w:val="auto"/>
        </w:rPr>
        <w:t xml:space="preserve"> Note that this data is from 2010 and should be considered out of date.</w:t>
      </w:r>
      <w:r w:rsidR="00746CAD" w:rsidRPr="002B14B4">
        <w:rPr>
          <w:color w:val="auto"/>
        </w:rPr>
        <w:t xml:space="preserve"> It is likely that the number of piped water systems has increased.</w:t>
      </w:r>
    </w:p>
    <w:p w14:paraId="30D18B89" w14:textId="0BC67172" w:rsidR="005F61DB" w:rsidRPr="002B14B4" w:rsidRDefault="005F61DB">
      <w:pPr>
        <w:pStyle w:val="WEDC-Bodytext-P1"/>
        <w:rPr>
          <w:color w:val="auto"/>
        </w:rPr>
      </w:pPr>
      <w:r w:rsidRPr="005F61DB">
        <w:rPr>
          <w:color w:val="auto"/>
          <w:vertAlign w:val="superscript"/>
        </w:rPr>
        <w:t>2</w:t>
      </w:r>
      <w:r>
        <w:rPr>
          <w:color w:val="auto"/>
        </w:rPr>
        <w:t xml:space="preserve"> </w:t>
      </w:r>
      <w:r w:rsidRPr="002B14B4">
        <w:rPr>
          <w:noProof/>
          <w:color w:val="auto"/>
        </w:rPr>
        <w:t>Leaking taps and broken meters led to a ‘Partially Operating’ assessment and water points that failed to supply water were listed as ‘Non-Operational’.</w:t>
      </w:r>
    </w:p>
    <w:p w14:paraId="4C648DEC" w14:textId="3F85CDD4" w:rsidR="00533F5B" w:rsidRPr="002B14B4" w:rsidRDefault="005F61DB">
      <w:pPr>
        <w:pStyle w:val="WEDC-Bodytext-P1"/>
        <w:rPr>
          <w:color w:val="auto"/>
        </w:rPr>
      </w:pPr>
      <w:r>
        <w:rPr>
          <w:color w:val="auto"/>
          <w:vertAlign w:val="superscript"/>
        </w:rPr>
        <w:t>3</w:t>
      </w:r>
      <w:r w:rsidRPr="002B14B4">
        <w:rPr>
          <w:color w:val="auto"/>
        </w:rPr>
        <w:t xml:space="preserve"> </w:t>
      </w:r>
      <w:r w:rsidR="00D3421E" w:rsidRPr="002B14B4">
        <w:t>We</w:t>
      </w:r>
      <w:r w:rsidR="00D3421E" w:rsidRPr="002B14B4">
        <w:rPr>
          <w:color w:val="auto"/>
        </w:rPr>
        <w:t xml:space="preserve"> adopted the proposed Joint Monitoring Program standard </w:t>
      </w:r>
      <w:r w:rsidR="00946240" w:rsidRPr="002B14B4">
        <w:rPr>
          <w:color w:val="auto"/>
        </w:rPr>
        <w:t xml:space="preserve">on reliability </w:t>
      </w:r>
      <w:r w:rsidR="00D3421E" w:rsidRPr="002B14B4">
        <w:rPr>
          <w:color w:val="auto"/>
        </w:rPr>
        <w:t xml:space="preserve">for the Sustainable Development Goals, which is that the </w:t>
      </w:r>
      <w:r w:rsidR="00746CAD" w:rsidRPr="002B14B4">
        <w:rPr>
          <w:color w:val="auto"/>
        </w:rPr>
        <w:t>most recent</w:t>
      </w:r>
      <w:r w:rsidR="00D3421E" w:rsidRPr="002B14B4">
        <w:rPr>
          <w:color w:val="auto"/>
        </w:rPr>
        <w:t xml:space="preserve"> system breakdown should not have lasted for more than two days.</w:t>
      </w:r>
      <w:r w:rsidR="00946240" w:rsidRPr="002B14B4">
        <w:rPr>
          <w:color w:val="auto"/>
        </w:rPr>
        <w:t xml:space="preserve"> A breakdown that lasted longer than two days was considered to fail this standard (WHO and UNICEF, 2014).</w:t>
      </w:r>
    </w:p>
    <w:p w14:paraId="6D41C133" w14:textId="77777777" w:rsidR="00F17CC1" w:rsidRPr="002B14B4" w:rsidRDefault="00F17CC1">
      <w:pPr>
        <w:pStyle w:val="WEDC-Referencesheading"/>
      </w:pPr>
      <w:r w:rsidRPr="002B14B4">
        <w:t>Contact details</w:t>
      </w:r>
    </w:p>
    <w:p w14:paraId="0E9DBDE9" w14:textId="77777777" w:rsidR="00F17CC1" w:rsidRPr="002B14B4" w:rsidRDefault="00A77B19">
      <w:pPr>
        <w:pStyle w:val="Heading4"/>
      </w:pPr>
      <w:r w:rsidRPr="002B14B4">
        <w:t xml:space="preserve">Mark </w:t>
      </w:r>
      <w:proofErr w:type="spellStart"/>
      <w:r w:rsidRPr="002B14B4">
        <w:t>Wolfsbauer</w:t>
      </w:r>
      <w:proofErr w:type="spellEnd"/>
      <w:r w:rsidRPr="002B14B4">
        <w:tab/>
      </w:r>
      <w:r w:rsidRPr="002B14B4">
        <w:tab/>
      </w:r>
      <w:r w:rsidRPr="002B14B4">
        <w:tab/>
      </w:r>
      <w:r w:rsidRPr="002B14B4">
        <w:tab/>
      </w:r>
      <w:r w:rsidRPr="002B14B4">
        <w:tab/>
        <w:t>Chris Brewer</w:t>
      </w:r>
    </w:p>
    <w:tbl>
      <w:tblPr>
        <w:tblW w:w="0" w:type="auto"/>
        <w:tblBorders>
          <w:bottom w:val="single" w:sz="4" w:space="0" w:color="auto"/>
        </w:tblBorders>
        <w:tblCellMar>
          <w:top w:w="120" w:type="dxa"/>
          <w:left w:w="120" w:type="dxa"/>
          <w:bottom w:w="120" w:type="dxa"/>
          <w:right w:w="120" w:type="dxa"/>
        </w:tblCellMar>
        <w:tblLook w:val="0000" w:firstRow="0" w:lastRow="0" w:firstColumn="0" w:lastColumn="0" w:noHBand="0" w:noVBand="0"/>
      </w:tblPr>
      <w:tblGrid>
        <w:gridCol w:w="4369"/>
        <w:gridCol w:w="4136"/>
      </w:tblGrid>
      <w:tr w:rsidR="00F17CC1" w:rsidRPr="002B14B4" w14:paraId="7B685A65" w14:textId="77777777">
        <w:tc>
          <w:tcPr>
            <w:tcW w:w="4369" w:type="dxa"/>
            <w:tcMar>
              <w:top w:w="0" w:type="dxa"/>
              <w:left w:w="0" w:type="dxa"/>
              <w:bottom w:w="0" w:type="dxa"/>
              <w:right w:w="0" w:type="dxa"/>
            </w:tcMar>
          </w:tcPr>
          <w:p w14:paraId="01369F47" w14:textId="77777777" w:rsidR="00F17CC1" w:rsidRPr="002B14B4" w:rsidRDefault="00A77B19">
            <w:pPr>
              <w:pStyle w:val="WEDC-Bodytext-P1"/>
              <w:tabs>
                <w:tab w:val="left" w:pos="902"/>
              </w:tabs>
            </w:pPr>
            <w:r w:rsidRPr="002B14B4">
              <w:t>Email: markwolf@gmx.com</w:t>
            </w:r>
          </w:p>
        </w:tc>
        <w:tc>
          <w:tcPr>
            <w:tcW w:w="4136" w:type="dxa"/>
            <w:tcMar>
              <w:top w:w="0" w:type="dxa"/>
              <w:left w:w="0" w:type="dxa"/>
              <w:bottom w:w="0" w:type="dxa"/>
              <w:right w:w="0" w:type="dxa"/>
            </w:tcMar>
          </w:tcPr>
          <w:p w14:paraId="52E6CD8C" w14:textId="0CF97B32" w:rsidR="00F17CC1" w:rsidRPr="002B14B4" w:rsidRDefault="00F17CC1">
            <w:pPr>
              <w:pStyle w:val="WEDC-Bodytext-P1"/>
            </w:pPr>
            <w:r w:rsidRPr="002B14B4">
              <w:t xml:space="preserve">Email: </w:t>
            </w:r>
            <w:r w:rsidR="0007760B" w:rsidRPr="0007760B">
              <w:t>Chris.Brewer@redcross.no</w:t>
            </w:r>
          </w:p>
        </w:tc>
      </w:tr>
    </w:tbl>
    <w:p w14:paraId="50A3A73A" w14:textId="418BAA34" w:rsidR="00F17CC1" w:rsidRPr="002B14B4" w:rsidRDefault="00F17CC1" w:rsidP="00F25E93">
      <w:pPr>
        <w:pStyle w:val="WEDC-Bodytext-P1"/>
        <w:tabs>
          <w:tab w:val="clear" w:pos="170"/>
          <w:tab w:val="clear" w:pos="283"/>
          <w:tab w:val="clear" w:pos="454"/>
          <w:tab w:val="left" w:pos="5046"/>
        </w:tabs>
      </w:pPr>
    </w:p>
    <w:sectPr w:rsidR="00F17CC1" w:rsidRPr="002B14B4">
      <w:headerReference w:type="default" r:id="rId9"/>
      <w:footerReference w:type="default" r:id="rId10"/>
      <w:headerReference w:type="first" r:id="rId11"/>
      <w:footerReference w:type="first" r:id="rId12"/>
      <w:type w:val="nextColumn"/>
      <w:pgSz w:w="11907" w:h="16840" w:code="9"/>
      <w:pgMar w:top="1418" w:right="1701" w:bottom="1418" w:left="1701" w:header="1134" w:footer="720" w:gutter="0"/>
      <w:pgNumType w:start="1"/>
      <w:cols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9510" w14:textId="77777777" w:rsidR="00EB7D87" w:rsidRDefault="00EB7D87">
      <w:r>
        <w:separator/>
      </w:r>
    </w:p>
    <w:p w14:paraId="36C56CB7" w14:textId="77777777" w:rsidR="00EB7D87" w:rsidRDefault="00EB7D87"/>
  </w:endnote>
  <w:endnote w:type="continuationSeparator" w:id="0">
    <w:p w14:paraId="490A5364" w14:textId="77777777" w:rsidR="00EB7D87" w:rsidRDefault="00EB7D87">
      <w:r>
        <w:continuationSeparator/>
      </w:r>
    </w:p>
    <w:p w14:paraId="2C2E0782" w14:textId="77777777" w:rsidR="00EB7D87" w:rsidRDefault="00EB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rop BT">
    <w:altName w:val="Cambria"/>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6A28" w14:textId="77777777" w:rsidR="00264507" w:rsidRDefault="00264507">
    <w:pPr>
      <w:pStyle w:val="Footer"/>
      <w:jc w:val="center"/>
    </w:pPr>
    <w:r>
      <w:rPr>
        <w:rStyle w:val="PageNumber"/>
      </w:rPr>
      <w:fldChar w:fldCharType="begin"/>
    </w:r>
    <w:r>
      <w:rPr>
        <w:rStyle w:val="PageNumber"/>
      </w:rPr>
      <w:instrText xml:space="preserve"> PAGE </w:instrText>
    </w:r>
    <w:r>
      <w:rPr>
        <w:rStyle w:val="PageNumber"/>
      </w:rPr>
      <w:fldChar w:fldCharType="separate"/>
    </w:r>
    <w:r w:rsidR="00744EBD">
      <w:rPr>
        <w:rStyle w:val="PageNumber"/>
        <w:noProof/>
      </w:rPr>
      <w:t>6</w:t>
    </w:r>
    <w:r>
      <w:rPr>
        <w:rStyle w:val="PageNumber"/>
      </w:rPr>
      <w:fldChar w:fldCharType="end"/>
    </w:r>
  </w:p>
  <w:p w14:paraId="5B19514D" w14:textId="77777777" w:rsidR="00264507" w:rsidRDefault="002645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25A9" w14:textId="77777777" w:rsidR="00264507" w:rsidRDefault="0026450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5E070AE" w14:textId="77777777" w:rsidR="00264507" w:rsidRDefault="002645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780C" w14:textId="77777777" w:rsidR="00EB7D87" w:rsidRDefault="00EB7D87">
      <w:r>
        <w:separator/>
      </w:r>
    </w:p>
    <w:p w14:paraId="2F194D09" w14:textId="77777777" w:rsidR="00EB7D87" w:rsidRDefault="00EB7D87"/>
  </w:footnote>
  <w:footnote w:type="continuationSeparator" w:id="0">
    <w:p w14:paraId="2517D024" w14:textId="77777777" w:rsidR="00EB7D87" w:rsidRDefault="00EB7D87">
      <w:r>
        <w:continuationSeparator/>
      </w:r>
    </w:p>
    <w:p w14:paraId="1D98BCA3" w14:textId="77777777" w:rsidR="00EB7D87" w:rsidRDefault="00EB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6"/>
    </w:tblGrid>
    <w:tr w:rsidR="00264507" w14:paraId="3C54B08B" w14:textId="77777777">
      <w:trPr>
        <w:trHeight w:val="366"/>
      </w:trPr>
      <w:tc>
        <w:tcPr>
          <w:tcW w:w="8516" w:type="dxa"/>
          <w:tcBorders>
            <w:top w:val="nil"/>
            <w:left w:val="nil"/>
            <w:bottom w:val="nil"/>
            <w:right w:val="nil"/>
          </w:tcBorders>
        </w:tcPr>
        <w:p w14:paraId="38CA1A03" w14:textId="77777777" w:rsidR="00264507" w:rsidRDefault="00264507">
          <w:pPr>
            <w:pStyle w:val="Header"/>
          </w:pPr>
          <w:r>
            <w:t>wolfsbauer and brewer</w:t>
          </w:r>
        </w:p>
      </w:tc>
    </w:tr>
  </w:tbl>
  <w:p w14:paraId="18059AF7" w14:textId="77777777" w:rsidR="00264507" w:rsidRDefault="00264507">
    <w:pPr>
      <w:pStyle w:val="Header"/>
    </w:pPr>
  </w:p>
  <w:p w14:paraId="2A16C0BC" w14:textId="77777777" w:rsidR="00264507" w:rsidRDefault="00264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639"/>
    </w:tblGrid>
    <w:tr w:rsidR="00264507" w14:paraId="5B954E93" w14:textId="77777777">
      <w:trPr>
        <w:cantSplit/>
      </w:trPr>
      <w:tc>
        <w:tcPr>
          <w:tcW w:w="9639" w:type="dxa"/>
          <w:tcBorders>
            <w:bottom w:val="single" w:sz="4" w:space="0" w:color="auto"/>
          </w:tcBorders>
          <w:tcMar>
            <w:left w:w="0" w:type="dxa"/>
            <w:right w:w="0" w:type="dxa"/>
          </w:tcMar>
        </w:tcPr>
        <w:p w14:paraId="3D0D97B2" w14:textId="77777777" w:rsidR="00264507" w:rsidRDefault="00264507">
          <w:r>
            <w:t>30th WEDC International Conference, Vientiane, Lao PDR, 2004</w:t>
          </w:r>
        </w:p>
        <w:p w14:paraId="4D814EEC" w14:textId="77777777" w:rsidR="00264507" w:rsidRDefault="00264507">
          <w:pPr>
            <w:pStyle w:val="WEDC-Titleofconference"/>
            <w:tabs>
              <w:tab w:val="left" w:pos="3105"/>
            </w:tabs>
            <w:jc w:val="left"/>
          </w:pPr>
          <w:r>
            <w:tab/>
          </w:r>
        </w:p>
        <w:p w14:paraId="74BD839B" w14:textId="77777777" w:rsidR="00264507" w:rsidRDefault="00264507">
          <w:pPr>
            <w:pStyle w:val="WEDC-Titleofconference"/>
          </w:pPr>
          <w:r>
            <w:t>People-centred Approaches to Water and Environmental Sanitation</w:t>
          </w:r>
        </w:p>
        <w:p w14:paraId="256EC347" w14:textId="77777777" w:rsidR="00264507" w:rsidRDefault="00264507">
          <w:pPr>
            <w:pStyle w:val="WEDC-Titleofconference"/>
          </w:pPr>
        </w:p>
        <w:p w14:paraId="254638E9" w14:textId="77777777" w:rsidR="00264507" w:rsidRDefault="00264507">
          <w:pPr>
            <w:pStyle w:val="WEDC-Titleofpaper"/>
          </w:pPr>
          <w:r>
            <w:t>Type the Title of Your Paper Here</w:t>
          </w:r>
          <w:r>
            <w:br/>
            <w:t>No More Than 75 Characters</w:t>
          </w:r>
        </w:p>
        <w:p w14:paraId="12020C61" w14:textId="77777777" w:rsidR="00264507" w:rsidRDefault="00264507">
          <w:pPr>
            <w:pStyle w:val="WEDC-Titleofpaper"/>
          </w:pPr>
        </w:p>
        <w:p w14:paraId="73A18E85" w14:textId="77777777" w:rsidR="00264507" w:rsidRDefault="00264507">
          <w:pPr>
            <w:pStyle w:val="WEDC-Authorsandcountry"/>
          </w:pPr>
          <w:r>
            <w:t>Author 1, Author 2 and Author 3, UK</w:t>
          </w:r>
        </w:p>
        <w:p w14:paraId="17E587BE" w14:textId="77777777" w:rsidR="00264507" w:rsidRDefault="00264507"/>
      </w:tc>
    </w:tr>
    <w:tr w:rsidR="00264507" w14:paraId="17FE3BDA" w14:textId="77777777">
      <w:trPr>
        <w:cantSplit/>
      </w:trPr>
      <w:tc>
        <w:tcPr>
          <w:tcW w:w="9639" w:type="dxa"/>
          <w:tcBorders>
            <w:top w:val="single" w:sz="4" w:space="0" w:color="auto"/>
            <w:bottom w:val="single" w:sz="4" w:space="0" w:color="auto"/>
          </w:tcBorders>
          <w:tcMar>
            <w:left w:w="0" w:type="dxa"/>
            <w:right w:w="0" w:type="dxa"/>
          </w:tcMar>
        </w:tcPr>
        <w:p w14:paraId="09F45358" w14:textId="77777777" w:rsidR="00264507" w:rsidRDefault="00264507">
          <w:pPr>
            <w:pStyle w:val="WEDC-Abstract"/>
          </w:pPr>
        </w:p>
        <w:p w14:paraId="7D2E06B2" w14:textId="77777777" w:rsidR="00264507" w:rsidRDefault="00264507">
          <w:pPr>
            <w:pStyle w:val="WEDC-Abstract"/>
          </w:pPr>
          <w:r>
            <w:t>Insert your abstract here using the style Abstract. Your abstract should be no longer than 150 words. You should notice that this header extends in depth as you type.</w:t>
          </w:r>
        </w:p>
        <w:p w14:paraId="69C3CF8D" w14:textId="77777777" w:rsidR="00264507" w:rsidRDefault="00264507"/>
      </w:tc>
    </w:tr>
  </w:tbl>
  <w:p w14:paraId="0F4AD5B1" w14:textId="77777777" w:rsidR="00264507" w:rsidRDefault="00264507"/>
  <w:p w14:paraId="44F4A352" w14:textId="77777777" w:rsidR="00264507" w:rsidRDefault="002645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1AD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E24C3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A4CBE2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1160C6E"/>
    <w:lvl w:ilvl="0">
      <w:start w:val="1"/>
      <w:numFmt w:val="decimal"/>
      <w:pStyle w:val="ListNumber3"/>
      <w:lvlText w:val="%1."/>
      <w:lvlJc w:val="left"/>
      <w:pPr>
        <w:tabs>
          <w:tab w:val="num" w:pos="926"/>
        </w:tabs>
        <w:ind w:left="926" w:hanging="360"/>
      </w:pPr>
    </w:lvl>
  </w:abstractNum>
  <w:abstractNum w:abstractNumId="4">
    <w:nsid w:val="FFFFFF7F"/>
    <w:multiLevelType w:val="singleLevel"/>
    <w:tmpl w:val="747C2276"/>
    <w:lvl w:ilvl="0">
      <w:start w:val="1"/>
      <w:numFmt w:val="decimal"/>
      <w:pStyle w:val="ListNumber2"/>
      <w:lvlText w:val="%1."/>
      <w:lvlJc w:val="left"/>
      <w:pPr>
        <w:tabs>
          <w:tab w:val="num" w:pos="643"/>
        </w:tabs>
        <w:ind w:left="643" w:hanging="360"/>
      </w:pPr>
    </w:lvl>
  </w:abstractNum>
  <w:abstractNum w:abstractNumId="5">
    <w:nsid w:val="FFFFFF81"/>
    <w:multiLevelType w:val="singleLevel"/>
    <w:tmpl w:val="D14E48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54E8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F2DF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CAE2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FCA0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56E84"/>
    <w:multiLevelType w:val="hybridMultilevel"/>
    <w:tmpl w:val="09B600F0"/>
    <w:lvl w:ilvl="0" w:tplc="69F2FE36">
      <w:start w:val="1"/>
      <w:numFmt w:val="bullet"/>
      <w:pStyle w:val="WEDC-Bodytextwithbulletpoint"/>
      <w:lvlText w:val=""/>
      <w:lvlJc w:val="left"/>
      <w:pPr>
        <w:tabs>
          <w:tab w:val="num" w:pos="-180"/>
        </w:tabs>
        <w:ind w:left="240" w:hanging="240"/>
      </w:pPr>
      <w:rPr>
        <w:rFonts w:ascii="Symbol" w:hAnsi="Symbol" w:hint="default"/>
        <w:color w:val="auto"/>
        <w:spacing w:val="0"/>
        <w:position w:val="0"/>
        <w:sz w:val="16"/>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1">
    <w:nsid w:val="10460EB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B57A6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DC7624"/>
    <w:multiLevelType w:val="multilevel"/>
    <w:tmpl w:val="EE8406D0"/>
    <w:lvl w:ilvl="0">
      <w:start w:val="1"/>
      <w:numFmt w:val="bullet"/>
      <w:lvlText w:val=""/>
      <w:lvlJc w:val="left"/>
      <w:pPr>
        <w:tabs>
          <w:tab w:val="num" w:pos="-180"/>
        </w:tabs>
        <w:ind w:left="240" w:hanging="240"/>
      </w:pPr>
      <w:rPr>
        <w:rFonts w:ascii="Symbol" w:hAnsi="Symbol" w:hint="default"/>
        <w:color w:val="auto"/>
        <w:spacing w:val="0"/>
        <w:position w:val="0"/>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14">
    <w:nsid w:val="20FD361B"/>
    <w:multiLevelType w:val="hybridMultilevel"/>
    <w:tmpl w:val="19C87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3668B"/>
    <w:multiLevelType w:val="hybridMultilevel"/>
    <w:tmpl w:val="541C3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8879EA"/>
    <w:multiLevelType w:val="multilevel"/>
    <w:tmpl w:val="C3369588"/>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AD0033"/>
    <w:multiLevelType w:val="hybridMultilevel"/>
    <w:tmpl w:val="80E2F104"/>
    <w:lvl w:ilvl="0" w:tplc="47E22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537A6"/>
    <w:multiLevelType w:val="hybridMultilevel"/>
    <w:tmpl w:val="136C7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33636"/>
    <w:multiLevelType w:val="hybridMultilevel"/>
    <w:tmpl w:val="30A6C858"/>
    <w:lvl w:ilvl="0" w:tplc="5B589302">
      <w:start w:val="1"/>
      <w:numFmt w:val="bullet"/>
      <w:pStyle w:val="WEDC-Bodytextwithbulletpoint2"/>
      <w:lvlText w:val=""/>
      <w:lvlJc w:val="left"/>
      <w:pPr>
        <w:tabs>
          <w:tab w:val="num" w:pos="-180"/>
        </w:tabs>
        <w:ind w:left="240" w:hanging="24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Aria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Arial"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Arial"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nsid w:val="34CA7395"/>
    <w:multiLevelType w:val="hybridMultilevel"/>
    <w:tmpl w:val="B718C9CA"/>
    <w:lvl w:ilvl="0" w:tplc="0809000F">
      <w:start w:val="1"/>
      <w:numFmt w:val="decimal"/>
      <w:lvlText w:val="%1."/>
      <w:lvlJc w:val="left"/>
      <w:pPr>
        <w:tabs>
          <w:tab w:val="num" w:pos="360"/>
        </w:tabs>
        <w:ind w:left="360" w:hanging="360"/>
      </w:pPr>
      <w:rPr>
        <w:rFonts w:hint="default"/>
        <w:color w:val="auto"/>
        <w:spacing w:val="0"/>
        <w:position w:val="0"/>
        <w:sz w:val="16"/>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1">
    <w:nsid w:val="36B91AFF"/>
    <w:multiLevelType w:val="hybridMultilevel"/>
    <w:tmpl w:val="B9AE00CE"/>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2">
    <w:nsid w:val="3C344762"/>
    <w:multiLevelType w:val="hybridMultilevel"/>
    <w:tmpl w:val="86D287CC"/>
    <w:lvl w:ilvl="0" w:tplc="04090011">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3">
    <w:nsid w:val="40BE6E6E"/>
    <w:multiLevelType w:val="multilevel"/>
    <w:tmpl w:val="CBD646EA"/>
    <w:lvl w:ilvl="0">
      <w:start w:val="1"/>
      <w:numFmt w:val="bullet"/>
      <w:lvlText w:val=""/>
      <w:lvlJc w:val="left"/>
      <w:pPr>
        <w:tabs>
          <w:tab w:val="num" w:pos="360"/>
        </w:tabs>
        <w:ind w:left="780" w:hanging="240"/>
      </w:pPr>
      <w:rPr>
        <w:rFonts w:ascii="Symbol" w:hAnsi="Symbol" w:hint="default"/>
        <w:color w:val="auto"/>
        <w:spacing w:val="0"/>
        <w:position w:val="0"/>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E416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35A2946"/>
    <w:multiLevelType w:val="hybridMultilevel"/>
    <w:tmpl w:val="C3369588"/>
    <w:lvl w:ilvl="0" w:tplc="5538D1F6">
      <w:start w:val="1"/>
      <w:numFmt w:val="decimal"/>
      <w:pStyle w:val="WEDC-Bodytextindented"/>
      <w:lvlText w:val="%1."/>
      <w:lvlJc w:val="left"/>
      <w:pPr>
        <w:tabs>
          <w:tab w:val="num" w:pos="360"/>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2670A7"/>
    <w:multiLevelType w:val="hybridMultilevel"/>
    <w:tmpl w:val="26EA56FC"/>
    <w:lvl w:ilvl="0" w:tplc="806656F4">
      <w:start w:val="1"/>
      <w:numFmt w:val="bullet"/>
      <w:pStyle w:val="WEDC-Boxtextwithbullets"/>
      <w:lvlText w:val=""/>
      <w:lvlJc w:val="left"/>
      <w:pPr>
        <w:tabs>
          <w:tab w:val="num" w:pos="360"/>
        </w:tabs>
        <w:ind w:left="780" w:hanging="240"/>
      </w:pPr>
      <w:rPr>
        <w:rFonts w:ascii="Symbol" w:hAnsi="Symbol" w:hint="default"/>
        <w:color w:val="auto"/>
        <w:spacing w:val="0"/>
        <w:position w:val="0"/>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CF506F"/>
    <w:multiLevelType w:val="multilevel"/>
    <w:tmpl w:val="09B600F0"/>
    <w:lvl w:ilvl="0">
      <w:start w:val="1"/>
      <w:numFmt w:val="bullet"/>
      <w:lvlText w:val=""/>
      <w:lvlJc w:val="left"/>
      <w:pPr>
        <w:tabs>
          <w:tab w:val="num" w:pos="-180"/>
        </w:tabs>
        <w:ind w:left="240" w:hanging="240"/>
      </w:pPr>
      <w:rPr>
        <w:rFonts w:ascii="Symbol" w:hAnsi="Symbol" w:hint="default"/>
        <w:color w:val="auto"/>
        <w:spacing w:val="0"/>
        <w:position w:val="0"/>
        <w:sz w:val="16"/>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28">
    <w:nsid w:val="79447150"/>
    <w:multiLevelType w:val="multilevel"/>
    <w:tmpl w:val="0D3031DE"/>
    <w:lvl w:ilvl="0">
      <w:start w:val="1"/>
      <w:numFmt w:val="bullet"/>
      <w:lvlText w:val=""/>
      <w:lvlJc w:val="left"/>
      <w:pPr>
        <w:tabs>
          <w:tab w:val="num" w:pos="-180"/>
        </w:tabs>
        <w:ind w:left="240" w:hanging="240"/>
      </w:pPr>
      <w:rPr>
        <w:rFonts w:ascii="SymbolProp BT" w:hAnsi="SymbolProp BT" w:hint="default"/>
        <w:color w:val="auto"/>
        <w:spacing w:val="0"/>
        <w:position w:val="-4"/>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29">
    <w:nsid w:val="7B0720FB"/>
    <w:multiLevelType w:val="hybridMultilevel"/>
    <w:tmpl w:val="CBD443EA"/>
    <w:lvl w:ilvl="0" w:tplc="50A89DAE">
      <w:start w:val="13"/>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7F786757"/>
    <w:multiLevelType w:val="multilevel"/>
    <w:tmpl w:val="38E8988E"/>
    <w:lvl w:ilvl="0">
      <w:start w:val="1"/>
      <w:numFmt w:val="bullet"/>
      <w:lvlText w:val=""/>
      <w:lvlJc w:val="left"/>
      <w:pPr>
        <w:tabs>
          <w:tab w:val="num" w:pos="-180"/>
        </w:tabs>
        <w:ind w:left="240" w:hanging="240"/>
      </w:pPr>
      <w:rPr>
        <w:rFonts w:ascii="Symbol" w:hAnsi="Symbol" w:hint="default"/>
        <w:color w:val="auto"/>
        <w:spacing w:val="0"/>
        <w:position w:val="0"/>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num w:numId="1">
    <w:abstractNumId w:val="10"/>
  </w:num>
  <w:num w:numId="2">
    <w:abstractNumId w:val="25"/>
  </w:num>
  <w:num w:numId="3">
    <w:abstractNumId w:val="9"/>
  </w:num>
  <w:num w:numId="4">
    <w:abstractNumId w:val="7"/>
  </w:num>
  <w:num w:numId="5">
    <w:abstractNumId w:val="6"/>
  </w:num>
  <w:num w:numId="6">
    <w:abstractNumId w:val="5"/>
  </w:num>
  <w:num w:numId="7">
    <w:abstractNumId w:val="8"/>
  </w:num>
  <w:num w:numId="8">
    <w:abstractNumId w:val="4"/>
  </w:num>
  <w:num w:numId="9">
    <w:abstractNumId w:val="3"/>
  </w:num>
  <w:num w:numId="10">
    <w:abstractNumId w:val="2"/>
  </w:num>
  <w:num w:numId="11">
    <w:abstractNumId w:val="1"/>
  </w:num>
  <w:num w:numId="12">
    <w:abstractNumId w:val="24"/>
  </w:num>
  <w:num w:numId="13">
    <w:abstractNumId w:val="11"/>
  </w:num>
  <w:num w:numId="14">
    <w:abstractNumId w:val="12"/>
  </w:num>
  <w:num w:numId="15">
    <w:abstractNumId w:val="19"/>
  </w:num>
  <w:num w:numId="16">
    <w:abstractNumId w:val="26"/>
  </w:num>
  <w:num w:numId="17">
    <w:abstractNumId w:val="28"/>
  </w:num>
  <w:num w:numId="18">
    <w:abstractNumId w:val="13"/>
  </w:num>
  <w:num w:numId="19">
    <w:abstractNumId w:val="30"/>
  </w:num>
  <w:num w:numId="20">
    <w:abstractNumId w:val="27"/>
  </w:num>
  <w:num w:numId="21">
    <w:abstractNumId w:val="23"/>
  </w:num>
  <w:num w:numId="22">
    <w:abstractNumId w:val="15"/>
  </w:num>
  <w:num w:numId="23">
    <w:abstractNumId w:val="20"/>
  </w:num>
  <w:num w:numId="24">
    <w:abstractNumId w:val="0"/>
  </w:num>
  <w:num w:numId="25">
    <w:abstractNumId w:val="29"/>
  </w:num>
  <w:num w:numId="26">
    <w:abstractNumId w:val="21"/>
  </w:num>
  <w:num w:numId="27">
    <w:abstractNumId w:val="17"/>
  </w:num>
  <w:num w:numId="28">
    <w:abstractNumId w:val="22"/>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16"/>
  </w:num>
  <w:num w:numId="38">
    <w:abstractNumId w:val="25"/>
  </w:num>
  <w:num w:numId="39">
    <w:abstractNumId w:val="25"/>
  </w:num>
  <w:num w:numId="40">
    <w:abstractNumId w:val="18"/>
  </w:num>
  <w:num w:numId="41">
    <w:abstractNumId w:val="25"/>
  </w:num>
  <w:num w:numId="42">
    <w:abstractNumId w:val="25"/>
  </w:num>
  <w:num w:numId="43">
    <w:abstractNumId w:val="25"/>
  </w:num>
  <w:num w:numId="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21"/>
    <w:rsid w:val="00001BAC"/>
    <w:rsid w:val="000055E8"/>
    <w:rsid w:val="00007482"/>
    <w:rsid w:val="00010E29"/>
    <w:rsid w:val="000212B2"/>
    <w:rsid w:val="00023AA6"/>
    <w:rsid w:val="000333C9"/>
    <w:rsid w:val="00042BF7"/>
    <w:rsid w:val="00045363"/>
    <w:rsid w:val="00047E43"/>
    <w:rsid w:val="00053BD8"/>
    <w:rsid w:val="00061FD3"/>
    <w:rsid w:val="0006232E"/>
    <w:rsid w:val="00066BAD"/>
    <w:rsid w:val="0007760B"/>
    <w:rsid w:val="0008738C"/>
    <w:rsid w:val="00091137"/>
    <w:rsid w:val="000A1ED6"/>
    <w:rsid w:val="000C1E93"/>
    <w:rsid w:val="000C2554"/>
    <w:rsid w:val="000D1A1C"/>
    <w:rsid w:val="000E6557"/>
    <w:rsid w:val="001021CA"/>
    <w:rsid w:val="001036FA"/>
    <w:rsid w:val="00103747"/>
    <w:rsid w:val="00107D33"/>
    <w:rsid w:val="00121142"/>
    <w:rsid w:val="0013062B"/>
    <w:rsid w:val="001526C5"/>
    <w:rsid w:val="00157D67"/>
    <w:rsid w:val="00162824"/>
    <w:rsid w:val="00166EAE"/>
    <w:rsid w:val="001702A6"/>
    <w:rsid w:val="00171217"/>
    <w:rsid w:val="00181704"/>
    <w:rsid w:val="001933CE"/>
    <w:rsid w:val="00194F55"/>
    <w:rsid w:val="001A2B5A"/>
    <w:rsid w:val="001B7764"/>
    <w:rsid w:val="001D2DE9"/>
    <w:rsid w:val="001E4455"/>
    <w:rsid w:val="001F1480"/>
    <w:rsid w:val="00215B0C"/>
    <w:rsid w:val="00217EE2"/>
    <w:rsid w:val="00217F1D"/>
    <w:rsid w:val="0022153A"/>
    <w:rsid w:val="002413CA"/>
    <w:rsid w:val="00242D1F"/>
    <w:rsid w:val="00244144"/>
    <w:rsid w:val="00245208"/>
    <w:rsid w:val="00262B18"/>
    <w:rsid w:val="00264507"/>
    <w:rsid w:val="00271C07"/>
    <w:rsid w:val="00276A07"/>
    <w:rsid w:val="00280DF4"/>
    <w:rsid w:val="00297C23"/>
    <w:rsid w:val="002A25EF"/>
    <w:rsid w:val="002B14B4"/>
    <w:rsid w:val="002C1541"/>
    <w:rsid w:val="002D620C"/>
    <w:rsid w:val="002E3B45"/>
    <w:rsid w:val="002E6118"/>
    <w:rsid w:val="002E6C22"/>
    <w:rsid w:val="00303826"/>
    <w:rsid w:val="00304BC4"/>
    <w:rsid w:val="003228E5"/>
    <w:rsid w:val="003239BD"/>
    <w:rsid w:val="00330E4E"/>
    <w:rsid w:val="003335DA"/>
    <w:rsid w:val="00343954"/>
    <w:rsid w:val="0035298D"/>
    <w:rsid w:val="003609CD"/>
    <w:rsid w:val="003623B1"/>
    <w:rsid w:val="003856DB"/>
    <w:rsid w:val="00393299"/>
    <w:rsid w:val="00395635"/>
    <w:rsid w:val="003A2660"/>
    <w:rsid w:val="003A3F94"/>
    <w:rsid w:val="003A4B7F"/>
    <w:rsid w:val="003C27B9"/>
    <w:rsid w:val="003C64CE"/>
    <w:rsid w:val="003C7CB6"/>
    <w:rsid w:val="003D0303"/>
    <w:rsid w:val="003D345D"/>
    <w:rsid w:val="003E3C69"/>
    <w:rsid w:val="003F07E5"/>
    <w:rsid w:val="004038E5"/>
    <w:rsid w:val="00415EE2"/>
    <w:rsid w:val="004162D3"/>
    <w:rsid w:val="00416E6B"/>
    <w:rsid w:val="004172B4"/>
    <w:rsid w:val="00443621"/>
    <w:rsid w:val="00453260"/>
    <w:rsid w:val="0045341F"/>
    <w:rsid w:val="004544FD"/>
    <w:rsid w:val="004557E1"/>
    <w:rsid w:val="00463881"/>
    <w:rsid w:val="004A1970"/>
    <w:rsid w:val="004A2702"/>
    <w:rsid w:val="004A6651"/>
    <w:rsid w:val="004C0A5A"/>
    <w:rsid w:val="004C1173"/>
    <w:rsid w:val="004C4642"/>
    <w:rsid w:val="004F00E5"/>
    <w:rsid w:val="004F2ED3"/>
    <w:rsid w:val="004F5C85"/>
    <w:rsid w:val="005070D4"/>
    <w:rsid w:val="00513291"/>
    <w:rsid w:val="00533F5B"/>
    <w:rsid w:val="005372E1"/>
    <w:rsid w:val="00537C34"/>
    <w:rsid w:val="00541337"/>
    <w:rsid w:val="0055136B"/>
    <w:rsid w:val="005551C8"/>
    <w:rsid w:val="00555EA8"/>
    <w:rsid w:val="00574ACC"/>
    <w:rsid w:val="00583676"/>
    <w:rsid w:val="00584ED0"/>
    <w:rsid w:val="00585B58"/>
    <w:rsid w:val="00586699"/>
    <w:rsid w:val="005A435A"/>
    <w:rsid w:val="005A4648"/>
    <w:rsid w:val="005B327E"/>
    <w:rsid w:val="005C7A87"/>
    <w:rsid w:val="005D0124"/>
    <w:rsid w:val="005D3917"/>
    <w:rsid w:val="005D54C6"/>
    <w:rsid w:val="005D654A"/>
    <w:rsid w:val="005E185F"/>
    <w:rsid w:val="005E75D8"/>
    <w:rsid w:val="005F13D0"/>
    <w:rsid w:val="005F61DB"/>
    <w:rsid w:val="00600609"/>
    <w:rsid w:val="00600D4D"/>
    <w:rsid w:val="006012DE"/>
    <w:rsid w:val="00602F10"/>
    <w:rsid w:val="0061347B"/>
    <w:rsid w:val="00613E33"/>
    <w:rsid w:val="006217E3"/>
    <w:rsid w:val="00622C62"/>
    <w:rsid w:val="00624587"/>
    <w:rsid w:val="00627298"/>
    <w:rsid w:val="0063594B"/>
    <w:rsid w:val="00636CD3"/>
    <w:rsid w:val="00651992"/>
    <w:rsid w:val="006656F5"/>
    <w:rsid w:val="00673AD3"/>
    <w:rsid w:val="00680494"/>
    <w:rsid w:val="00685CF1"/>
    <w:rsid w:val="006921D7"/>
    <w:rsid w:val="006954D4"/>
    <w:rsid w:val="00697EFD"/>
    <w:rsid w:val="006C74A5"/>
    <w:rsid w:val="006C74F7"/>
    <w:rsid w:val="006E05BC"/>
    <w:rsid w:val="006E545C"/>
    <w:rsid w:val="006F4DF3"/>
    <w:rsid w:val="00701CF9"/>
    <w:rsid w:val="007032DC"/>
    <w:rsid w:val="00706589"/>
    <w:rsid w:val="00723DF9"/>
    <w:rsid w:val="00724020"/>
    <w:rsid w:val="007277BA"/>
    <w:rsid w:val="00727A5F"/>
    <w:rsid w:val="007316B9"/>
    <w:rsid w:val="00744EBD"/>
    <w:rsid w:val="0074690A"/>
    <w:rsid w:val="00746CAD"/>
    <w:rsid w:val="00751428"/>
    <w:rsid w:val="007522DF"/>
    <w:rsid w:val="007579C6"/>
    <w:rsid w:val="00757C7C"/>
    <w:rsid w:val="00764EE2"/>
    <w:rsid w:val="00787C7D"/>
    <w:rsid w:val="007C35B3"/>
    <w:rsid w:val="007D3339"/>
    <w:rsid w:val="007F09E7"/>
    <w:rsid w:val="00801C87"/>
    <w:rsid w:val="00804C03"/>
    <w:rsid w:val="008138CD"/>
    <w:rsid w:val="00814DCC"/>
    <w:rsid w:val="00822EAF"/>
    <w:rsid w:val="0084314A"/>
    <w:rsid w:val="00845528"/>
    <w:rsid w:val="0085424B"/>
    <w:rsid w:val="008575F8"/>
    <w:rsid w:val="00857AB6"/>
    <w:rsid w:val="00867DE4"/>
    <w:rsid w:val="008728AE"/>
    <w:rsid w:val="00876B68"/>
    <w:rsid w:val="00880B01"/>
    <w:rsid w:val="00881828"/>
    <w:rsid w:val="0088644B"/>
    <w:rsid w:val="008877B3"/>
    <w:rsid w:val="0089273C"/>
    <w:rsid w:val="008A26F0"/>
    <w:rsid w:val="008A5C3C"/>
    <w:rsid w:val="008A6A75"/>
    <w:rsid w:val="008A7502"/>
    <w:rsid w:val="008C0E60"/>
    <w:rsid w:val="008C1386"/>
    <w:rsid w:val="008C21C0"/>
    <w:rsid w:val="008D1013"/>
    <w:rsid w:val="008E0DE8"/>
    <w:rsid w:val="008F4DE1"/>
    <w:rsid w:val="00905EE9"/>
    <w:rsid w:val="00910DFA"/>
    <w:rsid w:val="00921859"/>
    <w:rsid w:val="00926039"/>
    <w:rsid w:val="0093040E"/>
    <w:rsid w:val="00946240"/>
    <w:rsid w:val="00954FF3"/>
    <w:rsid w:val="00961ADB"/>
    <w:rsid w:val="00962AFB"/>
    <w:rsid w:val="0096517D"/>
    <w:rsid w:val="0097702C"/>
    <w:rsid w:val="00981143"/>
    <w:rsid w:val="00993895"/>
    <w:rsid w:val="009951A7"/>
    <w:rsid w:val="009B71EB"/>
    <w:rsid w:val="009B740F"/>
    <w:rsid w:val="009C264C"/>
    <w:rsid w:val="009C37D4"/>
    <w:rsid w:val="009C7054"/>
    <w:rsid w:val="009D45B6"/>
    <w:rsid w:val="009D6D3F"/>
    <w:rsid w:val="009E7121"/>
    <w:rsid w:val="009F5452"/>
    <w:rsid w:val="00A01ECF"/>
    <w:rsid w:val="00A04773"/>
    <w:rsid w:val="00A07369"/>
    <w:rsid w:val="00A22BC8"/>
    <w:rsid w:val="00A26724"/>
    <w:rsid w:val="00A3004B"/>
    <w:rsid w:val="00A440A0"/>
    <w:rsid w:val="00A4669E"/>
    <w:rsid w:val="00A50AC6"/>
    <w:rsid w:val="00A71281"/>
    <w:rsid w:val="00A750C1"/>
    <w:rsid w:val="00A75244"/>
    <w:rsid w:val="00A77B19"/>
    <w:rsid w:val="00A90A3E"/>
    <w:rsid w:val="00AA08C8"/>
    <w:rsid w:val="00AA10AA"/>
    <w:rsid w:val="00AA48BA"/>
    <w:rsid w:val="00AB2225"/>
    <w:rsid w:val="00AB2A3E"/>
    <w:rsid w:val="00AC1259"/>
    <w:rsid w:val="00AC3664"/>
    <w:rsid w:val="00AC7CB7"/>
    <w:rsid w:val="00AD1884"/>
    <w:rsid w:val="00AD1895"/>
    <w:rsid w:val="00AD40DA"/>
    <w:rsid w:val="00B0091B"/>
    <w:rsid w:val="00B0342A"/>
    <w:rsid w:val="00B25F67"/>
    <w:rsid w:val="00B2671A"/>
    <w:rsid w:val="00B30047"/>
    <w:rsid w:val="00B320BE"/>
    <w:rsid w:val="00B32544"/>
    <w:rsid w:val="00B3315D"/>
    <w:rsid w:val="00B468DE"/>
    <w:rsid w:val="00B611CC"/>
    <w:rsid w:val="00B93157"/>
    <w:rsid w:val="00B96945"/>
    <w:rsid w:val="00BA00AF"/>
    <w:rsid w:val="00BB331F"/>
    <w:rsid w:val="00BB47BC"/>
    <w:rsid w:val="00BC25BA"/>
    <w:rsid w:val="00BD0217"/>
    <w:rsid w:val="00BD0C03"/>
    <w:rsid w:val="00BD473E"/>
    <w:rsid w:val="00BD72C1"/>
    <w:rsid w:val="00BE116C"/>
    <w:rsid w:val="00BE6AAC"/>
    <w:rsid w:val="00BE6B1D"/>
    <w:rsid w:val="00BF0B3A"/>
    <w:rsid w:val="00BF47CF"/>
    <w:rsid w:val="00C05A36"/>
    <w:rsid w:val="00C05B80"/>
    <w:rsid w:val="00C10011"/>
    <w:rsid w:val="00C13974"/>
    <w:rsid w:val="00C318E5"/>
    <w:rsid w:val="00C36170"/>
    <w:rsid w:val="00C51115"/>
    <w:rsid w:val="00C517A9"/>
    <w:rsid w:val="00C6578C"/>
    <w:rsid w:val="00C730D0"/>
    <w:rsid w:val="00C73A43"/>
    <w:rsid w:val="00C7764D"/>
    <w:rsid w:val="00C85C27"/>
    <w:rsid w:val="00C96789"/>
    <w:rsid w:val="00C968A8"/>
    <w:rsid w:val="00CA5E70"/>
    <w:rsid w:val="00CB4462"/>
    <w:rsid w:val="00CC01C7"/>
    <w:rsid w:val="00CC76C0"/>
    <w:rsid w:val="00CD34A9"/>
    <w:rsid w:val="00CD458B"/>
    <w:rsid w:val="00CE027F"/>
    <w:rsid w:val="00CE70D3"/>
    <w:rsid w:val="00D1163C"/>
    <w:rsid w:val="00D13C6A"/>
    <w:rsid w:val="00D3421E"/>
    <w:rsid w:val="00D46C8A"/>
    <w:rsid w:val="00D62416"/>
    <w:rsid w:val="00D80FAC"/>
    <w:rsid w:val="00D85D71"/>
    <w:rsid w:val="00D86B32"/>
    <w:rsid w:val="00D9393E"/>
    <w:rsid w:val="00D943D7"/>
    <w:rsid w:val="00DB4044"/>
    <w:rsid w:val="00DB7102"/>
    <w:rsid w:val="00DC0146"/>
    <w:rsid w:val="00DC03FE"/>
    <w:rsid w:val="00DD3246"/>
    <w:rsid w:val="00DE58A3"/>
    <w:rsid w:val="00E02497"/>
    <w:rsid w:val="00E055FF"/>
    <w:rsid w:val="00E15A6B"/>
    <w:rsid w:val="00E16854"/>
    <w:rsid w:val="00E230D2"/>
    <w:rsid w:val="00E26DCE"/>
    <w:rsid w:val="00E27898"/>
    <w:rsid w:val="00E309E6"/>
    <w:rsid w:val="00E37D21"/>
    <w:rsid w:val="00E57866"/>
    <w:rsid w:val="00E65F91"/>
    <w:rsid w:val="00E7690D"/>
    <w:rsid w:val="00EB1A50"/>
    <w:rsid w:val="00EB7D87"/>
    <w:rsid w:val="00EC4752"/>
    <w:rsid w:val="00EC4BAA"/>
    <w:rsid w:val="00ED43CD"/>
    <w:rsid w:val="00ED7E19"/>
    <w:rsid w:val="00EE5D87"/>
    <w:rsid w:val="00F03858"/>
    <w:rsid w:val="00F17CC1"/>
    <w:rsid w:val="00F25415"/>
    <w:rsid w:val="00F25E93"/>
    <w:rsid w:val="00F26439"/>
    <w:rsid w:val="00F302E5"/>
    <w:rsid w:val="00F34481"/>
    <w:rsid w:val="00F35CB8"/>
    <w:rsid w:val="00F36155"/>
    <w:rsid w:val="00F54AE0"/>
    <w:rsid w:val="00F646BA"/>
    <w:rsid w:val="00F72B29"/>
    <w:rsid w:val="00F83852"/>
    <w:rsid w:val="00F85786"/>
    <w:rsid w:val="00F91A04"/>
    <w:rsid w:val="00F95A52"/>
    <w:rsid w:val="00FA363C"/>
    <w:rsid w:val="00FA5A8F"/>
    <w:rsid w:val="00FB028B"/>
    <w:rsid w:val="00FB2FF6"/>
    <w:rsid w:val="00FC71AC"/>
    <w:rsid w:val="00FD1761"/>
    <w:rsid w:val="00FD590E"/>
    <w:rsid w:val="00FE01A9"/>
    <w:rsid w:val="00FE0650"/>
    <w:rsid w:val="00FF3B9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C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0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Cs/>
      <w:color w:val="000000"/>
      <w:szCs w:val="24"/>
      <w:lang w:val="en-US"/>
    </w:rPr>
  </w:style>
  <w:style w:type="paragraph" w:styleId="Heading1">
    <w:name w:val="heading 1"/>
    <w:aliases w:val="WEDC Heading 1"/>
    <w:next w:val="WEDC-Bodytext-P1"/>
    <w:link w:val="Heading1Char"/>
    <w:qFormat/>
    <w:pPr>
      <w:tabs>
        <w:tab w:val="left" w:pos="170"/>
        <w:tab w:val="left" w:pos="340"/>
        <w:tab w:val="left" w:pos="510"/>
      </w:tabs>
      <w:spacing w:line="300" w:lineRule="exact"/>
      <w:outlineLvl w:val="0"/>
    </w:pPr>
    <w:rPr>
      <w:rFonts w:ascii="Arial" w:hAnsi="Arial" w:cs="Arial"/>
      <w:b/>
      <w:color w:val="000000"/>
      <w:sz w:val="23"/>
      <w:szCs w:val="23"/>
      <w:lang w:val="en-GB"/>
    </w:rPr>
  </w:style>
  <w:style w:type="paragraph" w:styleId="Heading2">
    <w:name w:val="heading 2"/>
    <w:aliases w:val="WEDC - Heading 2"/>
    <w:next w:val="WEDC-Bodytext-P1"/>
    <w:link w:val="Heading2Char"/>
    <w:qFormat/>
    <w:pPr>
      <w:tabs>
        <w:tab w:val="left" w:pos="170"/>
        <w:tab w:val="left" w:pos="283"/>
        <w:tab w:val="left" w:pos="454"/>
      </w:tabs>
      <w:spacing w:line="240" w:lineRule="exact"/>
      <w:outlineLvl w:val="1"/>
    </w:pPr>
    <w:rPr>
      <w:rFonts w:ascii="Arial" w:hAnsi="Arial" w:cs="Arial"/>
      <w:b/>
      <w:color w:val="000000"/>
      <w:lang w:val="en-GB"/>
    </w:rPr>
  </w:style>
  <w:style w:type="paragraph" w:styleId="Heading3">
    <w:name w:val="heading 3"/>
    <w:aliases w:val="WEDC - Heading 3"/>
    <w:next w:val="WEDC-Bodytext-P1"/>
    <w:link w:val="Heading3Char"/>
    <w:qFormat/>
    <w:pPr>
      <w:outlineLvl w:val="2"/>
    </w:pPr>
    <w:rPr>
      <w:b/>
      <w:i/>
      <w:iCs/>
      <w:color w:val="000000"/>
      <w:lang w:val="en-GB"/>
    </w:rPr>
  </w:style>
  <w:style w:type="paragraph" w:styleId="Heading4">
    <w:name w:val="heading 4"/>
    <w:aliases w:val="WEDC - Heading 4"/>
    <w:next w:val="Normal"/>
    <w:link w:val="Heading4Char"/>
    <w:qFormat/>
    <w:pPr>
      <w:keepNext/>
      <w:outlineLvl w:val="3"/>
    </w:pPr>
    <w:rPr>
      <w:i/>
      <w:iCs/>
      <w:color w:val="000000"/>
      <w:szCs w:val="28"/>
      <w:lang w:val="en-GB"/>
    </w:rPr>
  </w:style>
  <w:style w:type="paragraph" w:styleId="Heading5">
    <w:name w:val="heading 5"/>
    <w:basedOn w:val="Normal"/>
    <w:next w:val="Normal"/>
    <w:qFormat/>
    <w:pPr>
      <w:spacing w:before="240" w:after="60"/>
      <w:outlineLvl w:val="4"/>
    </w:pPr>
    <w:rPr>
      <w:b/>
      <w:i/>
      <w:iCs/>
      <w:sz w:val="26"/>
      <w:szCs w:val="26"/>
    </w:rPr>
  </w:style>
  <w:style w:type="paragraph" w:styleId="Heading6">
    <w:name w:val="heading 6"/>
    <w:basedOn w:val="Normal"/>
    <w:next w:val="Normal"/>
    <w:qFormat/>
    <w:pPr>
      <w:spacing w:before="240" w:after="60"/>
      <w:outlineLvl w:val="5"/>
    </w:pPr>
    <w:rPr>
      <w:b/>
      <w:bCs w:val="0"/>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DC-Bodytext-P1">
    <w:name w:val="WEDC - Body text - P1"/>
    <w:link w:val="WEDC-Bodytext-P1CharChar"/>
    <w:pPr>
      <w:tabs>
        <w:tab w:val="left" w:pos="170"/>
        <w:tab w:val="left" w:pos="283"/>
        <w:tab w:val="left" w:pos="454"/>
      </w:tabs>
      <w:spacing w:line="240" w:lineRule="atLeast"/>
      <w:jc w:val="both"/>
    </w:pPr>
    <w:rPr>
      <w:bCs/>
      <w:color w:val="000000"/>
      <w:spacing w:val="-2"/>
      <w:lang w:val="en-GB"/>
    </w:rPr>
  </w:style>
  <w:style w:type="paragraph" w:styleId="Header">
    <w:name w:val="header"/>
    <w:aliases w:val="WEDC - Header"/>
    <w:pPr>
      <w:tabs>
        <w:tab w:val="center" w:pos="4153"/>
        <w:tab w:val="right" w:pos="8306"/>
      </w:tabs>
      <w:spacing w:before="15" w:after="15"/>
      <w:jc w:val="center"/>
    </w:pPr>
    <w:rPr>
      <w:bCs/>
      <w:caps/>
      <w:color w:val="000000"/>
      <w:sz w:val="18"/>
      <w:szCs w:val="24"/>
      <w:lang w:val="en-GB"/>
    </w:rPr>
  </w:style>
  <w:style w:type="paragraph" w:styleId="Footer">
    <w:name w:val="footer"/>
    <w:basedOn w:val="Normal"/>
    <w:semiHidden/>
    <w:pPr>
      <w:tabs>
        <w:tab w:val="center" w:pos="4153"/>
        <w:tab w:val="right" w:pos="8306"/>
      </w:tabs>
    </w:pPr>
  </w:style>
  <w:style w:type="character" w:styleId="PageNumber">
    <w:name w:val="page number"/>
    <w:semiHidden/>
    <w:rPr>
      <w:rFonts w:ascii="Times New Roman" w:hAnsi="Times New Roman"/>
      <w:sz w:val="20"/>
    </w:rPr>
  </w:style>
  <w:style w:type="paragraph" w:customStyle="1" w:styleId="WEDC-Bodytextwithbulletpoint">
    <w:name w:val="WEDC - Body text with bullet point"/>
    <w:rsid w:val="008728AE"/>
    <w:pPr>
      <w:numPr>
        <w:numId w:val="1"/>
      </w:numPr>
      <w:tabs>
        <w:tab w:val="left" w:pos="170"/>
        <w:tab w:val="left" w:pos="284"/>
        <w:tab w:val="left" w:pos="340"/>
      </w:tabs>
      <w:spacing w:line="240" w:lineRule="atLeast"/>
    </w:pPr>
    <w:rPr>
      <w:bCs/>
      <w:color w:val="000000"/>
      <w:spacing w:val="-2"/>
      <w:lang w:val="en-GB"/>
    </w:rPr>
  </w:style>
  <w:style w:type="paragraph" w:customStyle="1" w:styleId="WEDC-Titleofconference">
    <w:name w:val="WEDC - Title of conference"/>
    <w:pPr>
      <w:autoSpaceDE w:val="0"/>
      <w:autoSpaceDN w:val="0"/>
      <w:adjustRightInd w:val="0"/>
      <w:jc w:val="center"/>
    </w:pPr>
    <w:rPr>
      <w:caps/>
      <w:color w:val="000000"/>
      <w:sz w:val="24"/>
      <w:szCs w:val="24"/>
      <w:lang w:val="en-US"/>
    </w:rPr>
  </w:style>
  <w:style w:type="paragraph" w:customStyle="1" w:styleId="WEDC-Titleofpaper">
    <w:name w:val="WEDC - Title of paper"/>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360" w:lineRule="exact"/>
      <w:jc w:val="center"/>
    </w:pPr>
    <w:rPr>
      <w:rFonts w:ascii="Arial" w:hAnsi="Arial" w:cs="Arial"/>
      <w:b/>
      <w:bCs/>
      <w:sz w:val="30"/>
      <w:szCs w:val="30"/>
      <w:lang w:val="en-GB"/>
    </w:rPr>
  </w:style>
  <w:style w:type="paragraph" w:customStyle="1" w:styleId="WEDC-Abstract">
    <w:name w:val="WEDC - Abstract"/>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exact"/>
      <w:jc w:val="both"/>
    </w:pPr>
    <w:rPr>
      <w:i/>
      <w:iCs/>
      <w:color w:val="000000"/>
      <w:lang w:val="en-GB"/>
    </w:rPr>
  </w:style>
  <w:style w:type="paragraph" w:customStyle="1" w:styleId="WEDC-Referencesheading">
    <w:name w:val="WEDC - References heading"/>
    <w:pPr>
      <w:pBdr>
        <w:top w:val="single" w:sz="2" w:space="6" w:color="auto"/>
        <w:between w:val="single" w:sz="2" w:space="6" w:color="auto"/>
      </w:pBdr>
      <w:tabs>
        <w:tab w:val="left" w:pos="1417"/>
        <w:tab w:val="left" w:pos="1984"/>
      </w:tabs>
      <w:ind w:left="284" w:hanging="284"/>
    </w:pPr>
    <w:rPr>
      <w:rFonts w:ascii="Arial" w:hAnsi="Arial" w:cs="Arial"/>
      <w:b/>
      <w:color w:val="000000"/>
      <w:lang w:val="en-GB"/>
    </w:rPr>
  </w:style>
  <w:style w:type="paragraph" w:customStyle="1" w:styleId="WEDC-OFFICEUSE">
    <w:name w:val="WEDC - OFFICE USE"/>
    <w:rPr>
      <w:b/>
      <w:bCs/>
      <w:caps/>
      <w:color w:val="000000"/>
      <w:sz w:val="18"/>
      <w:szCs w:val="24"/>
      <w:lang w:val="en-GB"/>
    </w:rPr>
  </w:style>
  <w:style w:type="paragraph" w:customStyle="1" w:styleId="WEDC-Authorsandcountry">
    <w:name w:val="WEDC - Author/s and country"/>
    <w:pPr>
      <w:spacing w:before="15" w:after="15" w:line="240" w:lineRule="atLeast"/>
      <w:jc w:val="center"/>
    </w:pPr>
    <w:rPr>
      <w:bCs/>
      <w:i/>
      <w:color w:val="000000"/>
      <w:sz w:val="24"/>
      <w:szCs w:val="24"/>
      <w:lang w:val="en-GB"/>
    </w:rPr>
  </w:style>
  <w:style w:type="paragraph" w:customStyle="1" w:styleId="Body">
    <w:name w:val="Body"/>
    <w:rsid w:val="00C517A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WEDC-050space">
    <w:name w:val="WEDC - 0.50 space"/>
    <w:link w:val="WEDC-050spaceCharChar"/>
    <w:pPr>
      <w:autoSpaceDE w:val="0"/>
      <w:autoSpaceDN w:val="0"/>
      <w:adjustRightInd w:val="0"/>
      <w:spacing w:line="120" w:lineRule="exact"/>
      <w:jc w:val="both"/>
    </w:pPr>
    <w:rPr>
      <w:sz w:val="18"/>
      <w:szCs w:val="12"/>
      <w:lang w:val="en-US"/>
    </w:rPr>
  </w:style>
  <w:style w:type="paragraph" w:customStyle="1" w:styleId="WEDC-Bodytext-P2">
    <w:name w:val="WEDC - Body text - P2"/>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firstLine="170"/>
      <w:jc w:val="both"/>
    </w:pPr>
    <w:rPr>
      <w:color w:val="000000"/>
      <w:spacing w:val="-2"/>
      <w:lang w:val="en-GB"/>
    </w:rPr>
  </w:style>
  <w:style w:type="paragraph" w:customStyle="1" w:styleId="TableStyle2">
    <w:name w:val="Table Style 2"/>
    <w:rsid w:val="00C517A9"/>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WEDC-References">
    <w:name w:val="WEDC - References"/>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left="180" w:hanging="180"/>
    </w:pPr>
    <w:rPr>
      <w:lang w:val="en-GB"/>
    </w:rPr>
  </w:style>
  <w:style w:type="paragraph" w:customStyle="1" w:styleId="WEDC-Image">
    <w:name w:val="WEDC - Image"/>
    <w:pPr>
      <w:spacing w:line="240" w:lineRule="atLeast"/>
      <w:jc w:val="center"/>
    </w:pPr>
    <w:rPr>
      <w:rFonts w:ascii="Arial" w:hAnsi="Arial"/>
      <w:bCs/>
      <w:caps/>
      <w:color w:val="000000"/>
      <w:sz w:val="18"/>
      <w:szCs w:val="24"/>
      <w:lang w:val="en-GB"/>
    </w:rPr>
  </w:style>
  <w:style w:type="character" w:customStyle="1" w:styleId="WEDC-Bodytext-P1CharChar">
    <w:name w:val="WEDC - Body text - P1 Char Char"/>
    <w:link w:val="WEDC-Bodytext-P1"/>
    <w:rPr>
      <w:bCs/>
      <w:color w:val="000000"/>
      <w:spacing w:val="-2"/>
      <w:lang w:val="en-GB" w:eastAsia="en-US" w:bidi="ar-SA"/>
    </w:rPr>
  </w:style>
  <w:style w:type="paragraph" w:customStyle="1" w:styleId="WEDC-Bodytextindented">
    <w:name w:val="WEDC - Body text indented"/>
    <w:link w:val="WEDC-BodytextindentedCharChar"/>
    <w:rsid w:val="008728AE"/>
    <w:pPr>
      <w:numPr>
        <w:numId w:val="2"/>
      </w:numPr>
      <w:tabs>
        <w:tab w:val="left" w:pos="170"/>
        <w:tab w:val="left" w:pos="284"/>
        <w:tab w:val="left" w:pos="510"/>
        <w:tab w:val="left" w:pos="680"/>
      </w:tabs>
    </w:pPr>
    <w:rPr>
      <w:bCs/>
      <w:color w:val="000000"/>
      <w:spacing w:val="-2"/>
      <w:lang w:val="en-GB"/>
    </w:rPr>
  </w:style>
  <w:style w:type="paragraph" w:customStyle="1" w:styleId="WEDC-Tablecellheading">
    <w:name w:val="WEDC - Table cell heading"/>
    <w:rPr>
      <w:rFonts w:ascii="Arial" w:hAnsi="Arial"/>
      <w:b/>
      <w:sz w:val="16"/>
      <w:lang w:val="en-GB"/>
    </w:rPr>
  </w:style>
  <w:style w:type="paragraph" w:customStyle="1" w:styleId="WEDC-Tabletext">
    <w:name w:val="WEDC - Table text"/>
    <w:pPr>
      <w:tabs>
        <w:tab w:val="left" w:pos="170"/>
        <w:tab w:val="left" w:pos="340"/>
        <w:tab w:val="left" w:pos="510"/>
        <w:tab w:val="left" w:pos="680"/>
      </w:tabs>
    </w:pPr>
    <w:rPr>
      <w:rFonts w:ascii="Arial" w:hAnsi="Arial" w:cs="Arial"/>
      <w:bCs/>
      <w:sz w:val="16"/>
      <w:szCs w:val="16"/>
      <w:lang w:val="en-GB"/>
    </w:rPr>
  </w:style>
  <w:style w:type="paragraph" w:customStyle="1" w:styleId="WEDC-Tabletitle">
    <w:name w:val="WEDC - Table title"/>
    <w:pPr>
      <w:keepNext/>
    </w:pPr>
    <w:rPr>
      <w:rFonts w:ascii="Arial" w:hAnsi="Arial" w:cs="Arial"/>
      <w:b/>
      <w:sz w:val="18"/>
      <w:lang w:val="en-GB"/>
    </w:rPr>
  </w:style>
  <w:style w:type="paragraph" w:customStyle="1" w:styleId="WEDC-Figuretitle">
    <w:name w:val="WEDC - Figure title"/>
    <w:pPr>
      <w:spacing w:line="240" w:lineRule="atLeast"/>
      <w:jc w:val="center"/>
    </w:pPr>
    <w:rPr>
      <w:rFonts w:ascii="Arial" w:hAnsi="Arial" w:cs="Arial"/>
      <w:b/>
      <w:sz w:val="18"/>
      <w:lang w:val="en-GB"/>
    </w:rPr>
  </w:style>
  <w:style w:type="paragraph" w:customStyle="1" w:styleId="WEDC-Boxtext">
    <w:name w:val="WEDC - Box text"/>
    <w:pPr>
      <w:tabs>
        <w:tab w:val="left" w:pos="170"/>
        <w:tab w:val="left" w:pos="340"/>
        <w:tab w:val="left" w:pos="510"/>
      </w:tabs>
      <w:spacing w:line="240" w:lineRule="atLeast"/>
    </w:pPr>
    <w:rPr>
      <w:rFonts w:ascii="Arial" w:hAnsi="Arial" w:cs="Arial"/>
      <w:sz w:val="17"/>
      <w:lang w:val="en-GB"/>
    </w:rPr>
  </w:style>
  <w:style w:type="paragraph" w:styleId="BodyText">
    <w:name w:val="Body Text"/>
    <w:basedOn w:val="Normal"/>
    <w:semiHidden/>
    <w:pPr>
      <w:spacing w:after="12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Pr>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link w:val="SubtitleChar"/>
    <w:uiPriority w:val="11"/>
    <w:qFormat/>
    <w:pPr>
      <w:spacing w:after="60"/>
      <w:jc w:val="center"/>
      <w:outlineLvl w:val="1"/>
    </w:pPr>
    <w:rPr>
      <w:rFonts w:ascii="Arial" w:hAnsi="Arial" w:cs="Arial"/>
      <w:sz w:val="24"/>
    </w:rPr>
  </w:style>
  <w:style w:type="table" w:styleId="Table3Deffects1">
    <w:name w:val="Table 3D effect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kern w:val="28"/>
      <w:sz w:val="32"/>
      <w:szCs w:val="32"/>
    </w:rPr>
  </w:style>
  <w:style w:type="character" w:customStyle="1" w:styleId="Heading1Char">
    <w:name w:val="Heading 1 Char"/>
    <w:aliases w:val="WEDC Heading 1 Char"/>
    <w:link w:val="Heading1"/>
    <w:rPr>
      <w:rFonts w:ascii="Arial" w:hAnsi="Arial" w:cs="Arial"/>
      <w:b/>
      <w:color w:val="000000"/>
      <w:sz w:val="23"/>
      <w:szCs w:val="23"/>
      <w:lang w:val="en-GB" w:eastAsia="en-US" w:bidi="ar-SA"/>
    </w:rPr>
  </w:style>
  <w:style w:type="character" w:customStyle="1" w:styleId="Heading2Char">
    <w:name w:val="Heading 2 Char"/>
    <w:aliases w:val="WEDC - Heading 2 Char"/>
    <w:basedOn w:val="Heading1Char"/>
    <w:link w:val="Heading2"/>
    <w:rPr>
      <w:rFonts w:ascii="Arial" w:hAnsi="Arial" w:cs="Arial"/>
      <w:b/>
      <w:color w:val="000000"/>
      <w:sz w:val="23"/>
      <w:szCs w:val="23"/>
      <w:lang w:val="en-GB" w:eastAsia="en-US" w:bidi="ar-SA"/>
    </w:rPr>
  </w:style>
  <w:style w:type="character" w:customStyle="1" w:styleId="Heading3Char">
    <w:name w:val="Heading 3 Char"/>
    <w:aliases w:val="WEDC - Heading 3 Char"/>
    <w:link w:val="Heading3"/>
    <w:rPr>
      <w:rFonts w:ascii="Arial" w:hAnsi="Arial" w:cs="Arial"/>
      <w:b/>
      <w:i/>
      <w:iCs/>
      <w:color w:val="000000"/>
      <w:sz w:val="23"/>
      <w:szCs w:val="23"/>
      <w:lang w:val="en-GB" w:eastAsia="en-US" w:bidi="ar-SA"/>
    </w:rPr>
  </w:style>
  <w:style w:type="character" w:customStyle="1" w:styleId="Heading4Char">
    <w:name w:val="Heading 4 Char"/>
    <w:aliases w:val="WEDC - Heading 4 Char"/>
    <w:link w:val="Heading4"/>
    <w:rPr>
      <w:rFonts w:ascii="Arial" w:hAnsi="Arial" w:cs="Arial"/>
      <w:b/>
      <w:i/>
      <w:iCs/>
      <w:color w:val="000000"/>
      <w:sz w:val="23"/>
      <w:szCs w:val="28"/>
      <w:lang w:val="en-GB" w:eastAsia="en-US" w:bidi="ar-SA"/>
    </w:rPr>
  </w:style>
  <w:style w:type="paragraph" w:customStyle="1" w:styleId="WEDC-36thWEDCConference">
    <w:name w:val="WEDC - 36th WEDC Conference"/>
    <w:pPr>
      <w:spacing w:before="300"/>
      <w:jc w:val="center"/>
    </w:pPr>
    <w:rPr>
      <w:b/>
      <w:bCs/>
      <w:color w:val="000000"/>
      <w:sz w:val="24"/>
      <w:szCs w:val="24"/>
      <w:lang w:val="en-US"/>
    </w:rPr>
  </w:style>
  <w:style w:type="paragraph" w:customStyle="1" w:styleId="WEDC-Boxtitle">
    <w:name w:val="WEDC - Box title"/>
    <w:link w:val="WEDC-BoxtitleCharChar"/>
    <w:pPr>
      <w:jc w:val="center"/>
    </w:pPr>
    <w:rPr>
      <w:rFonts w:ascii="Arial" w:hAnsi="Arial" w:cs="Arial"/>
      <w:b/>
      <w:sz w:val="22"/>
      <w:lang w:val="en-GB"/>
    </w:rPr>
  </w:style>
  <w:style w:type="character" w:customStyle="1" w:styleId="WEDC-BoxtitleCharChar">
    <w:name w:val="WEDC - Box title Char Char"/>
    <w:link w:val="WEDC-Boxtitle"/>
    <w:rPr>
      <w:rFonts w:ascii="Arial" w:hAnsi="Arial" w:cs="Arial"/>
      <w:b/>
      <w:sz w:val="22"/>
      <w:lang w:val="en-GB" w:eastAsia="en-US" w:bidi="ar-SA"/>
    </w:rPr>
  </w:style>
  <w:style w:type="paragraph" w:customStyle="1" w:styleId="WEDC-Bodytextwithbulletpoint2">
    <w:name w:val="WEDC - Body text with bullet point 2"/>
    <w:next w:val="Normal"/>
    <w:pPr>
      <w:numPr>
        <w:numId w:val="15"/>
      </w:numPr>
    </w:pPr>
    <w:rPr>
      <w:bCs/>
      <w:color w:val="000000"/>
      <w:spacing w:val="-2"/>
      <w:lang w:val="en-GB"/>
    </w:rPr>
  </w:style>
  <w:style w:type="character" w:customStyle="1" w:styleId="WEDC-BodytextindentedCharChar">
    <w:name w:val="WEDC - Body text indented Char Char"/>
    <w:link w:val="WEDC-Bodytextindented"/>
    <w:rsid w:val="008728AE"/>
    <w:rPr>
      <w:bCs/>
      <w:color w:val="000000"/>
      <w:spacing w:val="-2"/>
      <w:lang w:val="en-GB"/>
    </w:rPr>
  </w:style>
  <w:style w:type="paragraph" w:customStyle="1" w:styleId="WEDC-Boxtextwithbullets">
    <w:name w:val="WEDC - Box text with bullets"/>
    <w:link w:val="WEDC-BoxtextwithbulletsCharChar"/>
    <w:pPr>
      <w:numPr>
        <w:numId w:val="16"/>
      </w:numPr>
      <w:tabs>
        <w:tab w:val="left" w:pos="170"/>
        <w:tab w:val="left" w:pos="510"/>
      </w:tabs>
    </w:pPr>
    <w:rPr>
      <w:rFonts w:ascii="Arial" w:hAnsi="Arial" w:cs="Arial"/>
      <w:sz w:val="17"/>
      <w:lang w:val="en-GB"/>
    </w:rPr>
  </w:style>
  <w:style w:type="character" w:customStyle="1" w:styleId="WEDC-BoxtextwithbulletsCharChar">
    <w:name w:val="WEDC - Box text with bullets Char Char"/>
    <w:link w:val="WEDC-Boxtextwithbullets"/>
    <w:rPr>
      <w:rFonts w:ascii="Arial" w:hAnsi="Arial" w:cs="Arial"/>
      <w:sz w:val="17"/>
      <w:lang w:val="en-GB" w:eastAsia="en-US" w:bidi="ar-SA"/>
    </w:rPr>
  </w:style>
  <w:style w:type="character" w:customStyle="1" w:styleId="WEDC-050spaceCharChar">
    <w:name w:val="WEDC - 0.50 space Char Char"/>
    <w:link w:val="WEDC-050space"/>
    <w:rPr>
      <w:sz w:val="18"/>
      <w:szCs w:val="12"/>
      <w:lang w:val="en-US" w:eastAsia="en-US" w:bidi="ar-SA"/>
    </w:rPr>
  </w:style>
  <w:style w:type="paragraph" w:customStyle="1" w:styleId="Default">
    <w:name w:val="Default"/>
    <w:rsid w:val="001021C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rPr>
  </w:style>
  <w:style w:type="paragraph" w:customStyle="1" w:styleId="WEDC-Source">
    <w:name w:val="WEDC - Source"/>
    <w:pPr>
      <w:spacing w:line="190" w:lineRule="atLeast"/>
      <w:jc w:val="center"/>
    </w:pPr>
    <w:rPr>
      <w:rFonts w:ascii="Arial" w:hAnsi="Arial" w:cs="Arial"/>
      <w:bCs/>
      <w:sz w:val="16"/>
      <w:szCs w:val="16"/>
      <w:lang w:val="en-GB"/>
    </w:rPr>
  </w:style>
  <w:style w:type="paragraph" w:customStyle="1" w:styleId="WEDC-Phototitle">
    <w:name w:val="WEDC - Photo title"/>
    <w:pPr>
      <w:spacing w:line="240" w:lineRule="atLeast"/>
      <w:jc w:val="center"/>
    </w:pPr>
    <w:rPr>
      <w:rFonts w:ascii="Arial" w:hAnsi="Arial" w:cs="Arial"/>
      <w:b/>
      <w:sz w:val="18"/>
      <w:lang w:val="en-GB"/>
    </w:rPr>
  </w:style>
  <w:style w:type="paragraph" w:styleId="FootnoteText">
    <w:name w:val="footnote text"/>
    <w:basedOn w:val="Normal"/>
    <w:link w:val="FootnoteTextChar"/>
    <w:uiPriority w:val="99"/>
    <w:unhideWhenUsed/>
    <w:rsid w:val="00706589"/>
    <w:pPr>
      <w:pBdr>
        <w:top w:val="nil"/>
        <w:left w:val="nil"/>
        <w:bottom w:val="nil"/>
        <w:right w:val="nil"/>
        <w:between w:val="nil"/>
        <w:bar w:val="nil"/>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pPr>
    <w:rPr>
      <w:rFonts w:eastAsia="Arial Unicode MS"/>
      <w:bCs w:val="0"/>
      <w:color w:val="auto"/>
      <w:sz w:val="24"/>
      <w:bdr w:val="nil"/>
      <w:lang w:val="en-AU"/>
    </w:rPr>
  </w:style>
  <w:style w:type="character" w:customStyle="1" w:styleId="FootnoteTextChar">
    <w:name w:val="Footnote Text Char"/>
    <w:basedOn w:val="DefaultParagraphFont"/>
    <w:link w:val="FootnoteText"/>
    <w:uiPriority w:val="99"/>
    <w:rsid w:val="00706589"/>
    <w:rPr>
      <w:rFonts w:eastAsia="Arial Unicode MS"/>
      <w:sz w:val="24"/>
      <w:szCs w:val="24"/>
      <w:bdr w:val="nil"/>
    </w:rPr>
  </w:style>
  <w:style w:type="character" w:styleId="FootnoteReference">
    <w:name w:val="footnote reference"/>
    <w:basedOn w:val="DefaultParagraphFont"/>
    <w:uiPriority w:val="99"/>
    <w:unhideWhenUsed/>
    <w:rsid w:val="00706589"/>
    <w:rPr>
      <w:vertAlign w:val="superscript"/>
    </w:rPr>
  </w:style>
  <w:style w:type="table" w:styleId="LightGrid-Accent1">
    <w:name w:val="Light Grid Accent 1"/>
    <w:basedOn w:val="TableNormal"/>
    <w:uiPriority w:val="62"/>
    <w:rsid w:val="00706589"/>
    <w:pPr>
      <w:pBdr>
        <w:top w:val="nil"/>
        <w:left w:val="nil"/>
        <w:bottom w:val="nil"/>
        <w:right w:val="nil"/>
        <w:between w:val="nil"/>
        <w:bar w:val="nil"/>
      </w:pBdr>
    </w:pPr>
    <w:rPr>
      <w:rFonts w:eastAsia="Arial Unicode MS"/>
      <w:sz w:val="24"/>
      <w:szCs w:val="24"/>
      <w:bdr w:val="n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
    <w:name w:val="EndNote Bibliography"/>
    <w:basedOn w:val="Normal"/>
    <w:rsid w:val="00FB028B"/>
    <w:pPr>
      <w:pBdr>
        <w:top w:val="nil"/>
        <w:left w:val="nil"/>
        <w:bottom w:val="nil"/>
        <w:right w:val="nil"/>
        <w:between w:val="nil"/>
        <w:bar w:val="nil"/>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pPr>
    <w:rPr>
      <w:rFonts w:ascii="Times Roman" w:eastAsia="Arial Unicode MS" w:hAnsi="Times Roman"/>
      <w:bCs w:val="0"/>
      <w:color w:val="auto"/>
      <w:sz w:val="24"/>
      <w:bdr w:val="nil"/>
    </w:rPr>
  </w:style>
  <w:style w:type="paragraph" w:styleId="ListParagraph">
    <w:name w:val="List Paragraph"/>
    <w:basedOn w:val="Normal"/>
    <w:uiPriority w:val="34"/>
    <w:qFormat/>
    <w:rsid w:val="001037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ind w:left="720"/>
      <w:contextualSpacing/>
      <w:jc w:val="left"/>
    </w:pPr>
    <w:rPr>
      <w:rFonts w:asciiTheme="minorHAnsi" w:eastAsiaTheme="minorEastAsia" w:hAnsiTheme="minorHAnsi" w:cstheme="minorBidi"/>
      <w:bCs w:val="0"/>
      <w:color w:val="auto"/>
      <w:sz w:val="24"/>
      <w:lang w:val="en-AU"/>
    </w:rPr>
  </w:style>
  <w:style w:type="character" w:customStyle="1" w:styleId="SubtitleChar">
    <w:name w:val="Subtitle Char"/>
    <w:basedOn w:val="DefaultParagraphFont"/>
    <w:link w:val="Subtitle"/>
    <w:uiPriority w:val="11"/>
    <w:rsid w:val="00814DCC"/>
    <w:rPr>
      <w:rFonts w:ascii="Arial" w:hAnsi="Arial" w:cs="Arial"/>
      <w:bCs/>
      <w:color w:val="000000"/>
      <w:sz w:val="24"/>
      <w:szCs w:val="24"/>
      <w:lang w:val="en-US"/>
    </w:rPr>
  </w:style>
  <w:style w:type="paragraph" w:styleId="Revision">
    <w:name w:val="Revision"/>
    <w:hidden/>
    <w:uiPriority w:val="99"/>
    <w:semiHidden/>
    <w:rsid w:val="00395635"/>
    <w:rPr>
      <w:bCs/>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0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Cs/>
      <w:color w:val="000000"/>
      <w:szCs w:val="24"/>
      <w:lang w:val="en-US"/>
    </w:rPr>
  </w:style>
  <w:style w:type="paragraph" w:styleId="Heading1">
    <w:name w:val="heading 1"/>
    <w:aliases w:val="WEDC Heading 1"/>
    <w:next w:val="WEDC-Bodytext-P1"/>
    <w:link w:val="Heading1Char"/>
    <w:qFormat/>
    <w:pPr>
      <w:tabs>
        <w:tab w:val="left" w:pos="170"/>
        <w:tab w:val="left" w:pos="340"/>
        <w:tab w:val="left" w:pos="510"/>
      </w:tabs>
      <w:spacing w:line="300" w:lineRule="exact"/>
      <w:outlineLvl w:val="0"/>
    </w:pPr>
    <w:rPr>
      <w:rFonts w:ascii="Arial" w:hAnsi="Arial" w:cs="Arial"/>
      <w:b/>
      <w:color w:val="000000"/>
      <w:sz w:val="23"/>
      <w:szCs w:val="23"/>
      <w:lang w:val="en-GB"/>
    </w:rPr>
  </w:style>
  <w:style w:type="paragraph" w:styleId="Heading2">
    <w:name w:val="heading 2"/>
    <w:aliases w:val="WEDC - Heading 2"/>
    <w:next w:val="WEDC-Bodytext-P1"/>
    <w:link w:val="Heading2Char"/>
    <w:qFormat/>
    <w:pPr>
      <w:tabs>
        <w:tab w:val="left" w:pos="170"/>
        <w:tab w:val="left" w:pos="283"/>
        <w:tab w:val="left" w:pos="454"/>
      </w:tabs>
      <w:spacing w:line="240" w:lineRule="exact"/>
      <w:outlineLvl w:val="1"/>
    </w:pPr>
    <w:rPr>
      <w:rFonts w:ascii="Arial" w:hAnsi="Arial" w:cs="Arial"/>
      <w:b/>
      <w:color w:val="000000"/>
      <w:lang w:val="en-GB"/>
    </w:rPr>
  </w:style>
  <w:style w:type="paragraph" w:styleId="Heading3">
    <w:name w:val="heading 3"/>
    <w:aliases w:val="WEDC - Heading 3"/>
    <w:next w:val="WEDC-Bodytext-P1"/>
    <w:link w:val="Heading3Char"/>
    <w:qFormat/>
    <w:pPr>
      <w:outlineLvl w:val="2"/>
    </w:pPr>
    <w:rPr>
      <w:b/>
      <w:i/>
      <w:iCs/>
      <w:color w:val="000000"/>
      <w:lang w:val="en-GB"/>
    </w:rPr>
  </w:style>
  <w:style w:type="paragraph" w:styleId="Heading4">
    <w:name w:val="heading 4"/>
    <w:aliases w:val="WEDC - Heading 4"/>
    <w:next w:val="Normal"/>
    <w:link w:val="Heading4Char"/>
    <w:qFormat/>
    <w:pPr>
      <w:keepNext/>
      <w:outlineLvl w:val="3"/>
    </w:pPr>
    <w:rPr>
      <w:i/>
      <w:iCs/>
      <w:color w:val="000000"/>
      <w:szCs w:val="28"/>
      <w:lang w:val="en-GB"/>
    </w:rPr>
  </w:style>
  <w:style w:type="paragraph" w:styleId="Heading5">
    <w:name w:val="heading 5"/>
    <w:basedOn w:val="Normal"/>
    <w:next w:val="Normal"/>
    <w:qFormat/>
    <w:pPr>
      <w:spacing w:before="240" w:after="60"/>
      <w:outlineLvl w:val="4"/>
    </w:pPr>
    <w:rPr>
      <w:b/>
      <w:i/>
      <w:iCs/>
      <w:sz w:val="26"/>
      <w:szCs w:val="26"/>
    </w:rPr>
  </w:style>
  <w:style w:type="paragraph" w:styleId="Heading6">
    <w:name w:val="heading 6"/>
    <w:basedOn w:val="Normal"/>
    <w:next w:val="Normal"/>
    <w:qFormat/>
    <w:pPr>
      <w:spacing w:before="240" w:after="60"/>
      <w:outlineLvl w:val="5"/>
    </w:pPr>
    <w:rPr>
      <w:b/>
      <w:bCs w:val="0"/>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DC-Bodytext-P1">
    <w:name w:val="WEDC - Body text - P1"/>
    <w:link w:val="WEDC-Bodytext-P1CharChar"/>
    <w:pPr>
      <w:tabs>
        <w:tab w:val="left" w:pos="170"/>
        <w:tab w:val="left" w:pos="283"/>
        <w:tab w:val="left" w:pos="454"/>
      </w:tabs>
      <w:spacing w:line="240" w:lineRule="atLeast"/>
      <w:jc w:val="both"/>
    </w:pPr>
    <w:rPr>
      <w:bCs/>
      <w:color w:val="000000"/>
      <w:spacing w:val="-2"/>
      <w:lang w:val="en-GB"/>
    </w:rPr>
  </w:style>
  <w:style w:type="paragraph" w:styleId="Header">
    <w:name w:val="header"/>
    <w:aliases w:val="WEDC - Header"/>
    <w:pPr>
      <w:tabs>
        <w:tab w:val="center" w:pos="4153"/>
        <w:tab w:val="right" w:pos="8306"/>
      </w:tabs>
      <w:spacing w:before="15" w:after="15"/>
      <w:jc w:val="center"/>
    </w:pPr>
    <w:rPr>
      <w:bCs/>
      <w:caps/>
      <w:color w:val="000000"/>
      <w:sz w:val="18"/>
      <w:szCs w:val="24"/>
      <w:lang w:val="en-GB"/>
    </w:rPr>
  </w:style>
  <w:style w:type="paragraph" w:styleId="Footer">
    <w:name w:val="footer"/>
    <w:basedOn w:val="Normal"/>
    <w:semiHidden/>
    <w:pPr>
      <w:tabs>
        <w:tab w:val="center" w:pos="4153"/>
        <w:tab w:val="right" w:pos="8306"/>
      </w:tabs>
    </w:pPr>
  </w:style>
  <w:style w:type="character" w:styleId="PageNumber">
    <w:name w:val="page number"/>
    <w:semiHidden/>
    <w:rPr>
      <w:rFonts w:ascii="Times New Roman" w:hAnsi="Times New Roman"/>
      <w:sz w:val="20"/>
    </w:rPr>
  </w:style>
  <w:style w:type="paragraph" w:customStyle="1" w:styleId="WEDC-Bodytextwithbulletpoint">
    <w:name w:val="WEDC - Body text with bullet point"/>
    <w:rsid w:val="008728AE"/>
    <w:pPr>
      <w:numPr>
        <w:numId w:val="1"/>
      </w:numPr>
      <w:tabs>
        <w:tab w:val="left" w:pos="170"/>
        <w:tab w:val="left" w:pos="284"/>
        <w:tab w:val="left" w:pos="340"/>
      </w:tabs>
      <w:spacing w:line="240" w:lineRule="atLeast"/>
    </w:pPr>
    <w:rPr>
      <w:bCs/>
      <w:color w:val="000000"/>
      <w:spacing w:val="-2"/>
      <w:lang w:val="en-GB"/>
    </w:rPr>
  </w:style>
  <w:style w:type="paragraph" w:customStyle="1" w:styleId="WEDC-Titleofconference">
    <w:name w:val="WEDC - Title of conference"/>
    <w:pPr>
      <w:autoSpaceDE w:val="0"/>
      <w:autoSpaceDN w:val="0"/>
      <w:adjustRightInd w:val="0"/>
      <w:jc w:val="center"/>
    </w:pPr>
    <w:rPr>
      <w:caps/>
      <w:color w:val="000000"/>
      <w:sz w:val="24"/>
      <w:szCs w:val="24"/>
      <w:lang w:val="en-US"/>
    </w:rPr>
  </w:style>
  <w:style w:type="paragraph" w:customStyle="1" w:styleId="WEDC-Titleofpaper">
    <w:name w:val="WEDC - Title of paper"/>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360" w:lineRule="exact"/>
      <w:jc w:val="center"/>
    </w:pPr>
    <w:rPr>
      <w:rFonts w:ascii="Arial" w:hAnsi="Arial" w:cs="Arial"/>
      <w:b/>
      <w:bCs/>
      <w:sz w:val="30"/>
      <w:szCs w:val="30"/>
      <w:lang w:val="en-GB"/>
    </w:rPr>
  </w:style>
  <w:style w:type="paragraph" w:customStyle="1" w:styleId="WEDC-Abstract">
    <w:name w:val="WEDC - Abstract"/>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exact"/>
      <w:jc w:val="both"/>
    </w:pPr>
    <w:rPr>
      <w:i/>
      <w:iCs/>
      <w:color w:val="000000"/>
      <w:lang w:val="en-GB"/>
    </w:rPr>
  </w:style>
  <w:style w:type="paragraph" w:customStyle="1" w:styleId="WEDC-Referencesheading">
    <w:name w:val="WEDC - References heading"/>
    <w:pPr>
      <w:pBdr>
        <w:top w:val="single" w:sz="2" w:space="6" w:color="auto"/>
        <w:between w:val="single" w:sz="2" w:space="6" w:color="auto"/>
      </w:pBdr>
      <w:tabs>
        <w:tab w:val="left" w:pos="1417"/>
        <w:tab w:val="left" w:pos="1984"/>
      </w:tabs>
      <w:ind w:left="284" w:hanging="284"/>
    </w:pPr>
    <w:rPr>
      <w:rFonts w:ascii="Arial" w:hAnsi="Arial" w:cs="Arial"/>
      <w:b/>
      <w:color w:val="000000"/>
      <w:lang w:val="en-GB"/>
    </w:rPr>
  </w:style>
  <w:style w:type="paragraph" w:customStyle="1" w:styleId="WEDC-OFFICEUSE">
    <w:name w:val="WEDC - OFFICE USE"/>
    <w:rPr>
      <w:b/>
      <w:bCs/>
      <w:caps/>
      <w:color w:val="000000"/>
      <w:sz w:val="18"/>
      <w:szCs w:val="24"/>
      <w:lang w:val="en-GB"/>
    </w:rPr>
  </w:style>
  <w:style w:type="paragraph" w:customStyle="1" w:styleId="WEDC-Authorsandcountry">
    <w:name w:val="WEDC - Author/s and country"/>
    <w:pPr>
      <w:spacing w:before="15" w:after="15" w:line="240" w:lineRule="atLeast"/>
      <w:jc w:val="center"/>
    </w:pPr>
    <w:rPr>
      <w:bCs/>
      <w:i/>
      <w:color w:val="000000"/>
      <w:sz w:val="24"/>
      <w:szCs w:val="24"/>
      <w:lang w:val="en-GB"/>
    </w:rPr>
  </w:style>
  <w:style w:type="paragraph" w:customStyle="1" w:styleId="Body">
    <w:name w:val="Body"/>
    <w:rsid w:val="00C517A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WEDC-050space">
    <w:name w:val="WEDC - 0.50 space"/>
    <w:link w:val="WEDC-050spaceCharChar"/>
    <w:pPr>
      <w:autoSpaceDE w:val="0"/>
      <w:autoSpaceDN w:val="0"/>
      <w:adjustRightInd w:val="0"/>
      <w:spacing w:line="120" w:lineRule="exact"/>
      <w:jc w:val="both"/>
    </w:pPr>
    <w:rPr>
      <w:sz w:val="18"/>
      <w:szCs w:val="12"/>
      <w:lang w:val="en-US"/>
    </w:rPr>
  </w:style>
  <w:style w:type="paragraph" w:customStyle="1" w:styleId="WEDC-Bodytext-P2">
    <w:name w:val="WEDC - Body text - P2"/>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firstLine="170"/>
      <w:jc w:val="both"/>
    </w:pPr>
    <w:rPr>
      <w:color w:val="000000"/>
      <w:spacing w:val="-2"/>
      <w:lang w:val="en-GB"/>
    </w:rPr>
  </w:style>
  <w:style w:type="paragraph" w:customStyle="1" w:styleId="TableStyle2">
    <w:name w:val="Table Style 2"/>
    <w:rsid w:val="00C517A9"/>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WEDC-References">
    <w:name w:val="WEDC - References"/>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left="180" w:hanging="180"/>
    </w:pPr>
    <w:rPr>
      <w:lang w:val="en-GB"/>
    </w:rPr>
  </w:style>
  <w:style w:type="paragraph" w:customStyle="1" w:styleId="WEDC-Image">
    <w:name w:val="WEDC - Image"/>
    <w:pPr>
      <w:spacing w:line="240" w:lineRule="atLeast"/>
      <w:jc w:val="center"/>
    </w:pPr>
    <w:rPr>
      <w:rFonts w:ascii="Arial" w:hAnsi="Arial"/>
      <w:bCs/>
      <w:caps/>
      <w:color w:val="000000"/>
      <w:sz w:val="18"/>
      <w:szCs w:val="24"/>
      <w:lang w:val="en-GB"/>
    </w:rPr>
  </w:style>
  <w:style w:type="character" w:customStyle="1" w:styleId="WEDC-Bodytext-P1CharChar">
    <w:name w:val="WEDC - Body text - P1 Char Char"/>
    <w:link w:val="WEDC-Bodytext-P1"/>
    <w:rPr>
      <w:bCs/>
      <w:color w:val="000000"/>
      <w:spacing w:val="-2"/>
      <w:lang w:val="en-GB" w:eastAsia="en-US" w:bidi="ar-SA"/>
    </w:rPr>
  </w:style>
  <w:style w:type="paragraph" w:customStyle="1" w:styleId="WEDC-Bodytextindented">
    <w:name w:val="WEDC - Body text indented"/>
    <w:link w:val="WEDC-BodytextindentedCharChar"/>
    <w:rsid w:val="008728AE"/>
    <w:pPr>
      <w:numPr>
        <w:numId w:val="2"/>
      </w:numPr>
      <w:tabs>
        <w:tab w:val="left" w:pos="170"/>
        <w:tab w:val="left" w:pos="284"/>
        <w:tab w:val="left" w:pos="510"/>
        <w:tab w:val="left" w:pos="680"/>
      </w:tabs>
    </w:pPr>
    <w:rPr>
      <w:bCs/>
      <w:color w:val="000000"/>
      <w:spacing w:val="-2"/>
      <w:lang w:val="en-GB"/>
    </w:rPr>
  </w:style>
  <w:style w:type="paragraph" w:customStyle="1" w:styleId="WEDC-Tablecellheading">
    <w:name w:val="WEDC - Table cell heading"/>
    <w:rPr>
      <w:rFonts w:ascii="Arial" w:hAnsi="Arial"/>
      <w:b/>
      <w:sz w:val="16"/>
      <w:lang w:val="en-GB"/>
    </w:rPr>
  </w:style>
  <w:style w:type="paragraph" w:customStyle="1" w:styleId="WEDC-Tabletext">
    <w:name w:val="WEDC - Table text"/>
    <w:pPr>
      <w:tabs>
        <w:tab w:val="left" w:pos="170"/>
        <w:tab w:val="left" w:pos="340"/>
        <w:tab w:val="left" w:pos="510"/>
        <w:tab w:val="left" w:pos="680"/>
      </w:tabs>
    </w:pPr>
    <w:rPr>
      <w:rFonts w:ascii="Arial" w:hAnsi="Arial" w:cs="Arial"/>
      <w:bCs/>
      <w:sz w:val="16"/>
      <w:szCs w:val="16"/>
      <w:lang w:val="en-GB"/>
    </w:rPr>
  </w:style>
  <w:style w:type="paragraph" w:customStyle="1" w:styleId="WEDC-Tabletitle">
    <w:name w:val="WEDC - Table title"/>
    <w:pPr>
      <w:keepNext/>
    </w:pPr>
    <w:rPr>
      <w:rFonts w:ascii="Arial" w:hAnsi="Arial" w:cs="Arial"/>
      <w:b/>
      <w:sz w:val="18"/>
      <w:lang w:val="en-GB"/>
    </w:rPr>
  </w:style>
  <w:style w:type="paragraph" w:customStyle="1" w:styleId="WEDC-Figuretitle">
    <w:name w:val="WEDC - Figure title"/>
    <w:pPr>
      <w:spacing w:line="240" w:lineRule="atLeast"/>
      <w:jc w:val="center"/>
    </w:pPr>
    <w:rPr>
      <w:rFonts w:ascii="Arial" w:hAnsi="Arial" w:cs="Arial"/>
      <w:b/>
      <w:sz w:val="18"/>
      <w:lang w:val="en-GB"/>
    </w:rPr>
  </w:style>
  <w:style w:type="paragraph" w:customStyle="1" w:styleId="WEDC-Boxtext">
    <w:name w:val="WEDC - Box text"/>
    <w:pPr>
      <w:tabs>
        <w:tab w:val="left" w:pos="170"/>
        <w:tab w:val="left" w:pos="340"/>
        <w:tab w:val="left" w:pos="510"/>
      </w:tabs>
      <w:spacing w:line="240" w:lineRule="atLeast"/>
    </w:pPr>
    <w:rPr>
      <w:rFonts w:ascii="Arial" w:hAnsi="Arial" w:cs="Arial"/>
      <w:sz w:val="17"/>
      <w:lang w:val="en-GB"/>
    </w:rPr>
  </w:style>
  <w:style w:type="paragraph" w:styleId="BodyText">
    <w:name w:val="Body Text"/>
    <w:basedOn w:val="Normal"/>
    <w:semiHidden/>
    <w:pPr>
      <w:spacing w:after="12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Pr>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link w:val="SubtitleChar"/>
    <w:uiPriority w:val="11"/>
    <w:qFormat/>
    <w:pPr>
      <w:spacing w:after="60"/>
      <w:jc w:val="center"/>
      <w:outlineLvl w:val="1"/>
    </w:pPr>
    <w:rPr>
      <w:rFonts w:ascii="Arial" w:hAnsi="Arial" w:cs="Arial"/>
      <w:sz w:val="24"/>
    </w:rPr>
  </w:style>
  <w:style w:type="table" w:styleId="Table3Deffects1">
    <w:name w:val="Table 3D effect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kern w:val="28"/>
      <w:sz w:val="32"/>
      <w:szCs w:val="32"/>
    </w:rPr>
  </w:style>
  <w:style w:type="character" w:customStyle="1" w:styleId="Heading1Char">
    <w:name w:val="Heading 1 Char"/>
    <w:aliases w:val="WEDC Heading 1 Char"/>
    <w:link w:val="Heading1"/>
    <w:rPr>
      <w:rFonts w:ascii="Arial" w:hAnsi="Arial" w:cs="Arial"/>
      <w:b/>
      <w:color w:val="000000"/>
      <w:sz w:val="23"/>
      <w:szCs w:val="23"/>
      <w:lang w:val="en-GB" w:eastAsia="en-US" w:bidi="ar-SA"/>
    </w:rPr>
  </w:style>
  <w:style w:type="character" w:customStyle="1" w:styleId="Heading2Char">
    <w:name w:val="Heading 2 Char"/>
    <w:aliases w:val="WEDC - Heading 2 Char"/>
    <w:basedOn w:val="Heading1Char"/>
    <w:link w:val="Heading2"/>
    <w:rPr>
      <w:rFonts w:ascii="Arial" w:hAnsi="Arial" w:cs="Arial"/>
      <w:b/>
      <w:color w:val="000000"/>
      <w:sz w:val="23"/>
      <w:szCs w:val="23"/>
      <w:lang w:val="en-GB" w:eastAsia="en-US" w:bidi="ar-SA"/>
    </w:rPr>
  </w:style>
  <w:style w:type="character" w:customStyle="1" w:styleId="Heading3Char">
    <w:name w:val="Heading 3 Char"/>
    <w:aliases w:val="WEDC - Heading 3 Char"/>
    <w:link w:val="Heading3"/>
    <w:rPr>
      <w:rFonts w:ascii="Arial" w:hAnsi="Arial" w:cs="Arial"/>
      <w:b/>
      <w:i/>
      <w:iCs/>
      <w:color w:val="000000"/>
      <w:sz w:val="23"/>
      <w:szCs w:val="23"/>
      <w:lang w:val="en-GB" w:eastAsia="en-US" w:bidi="ar-SA"/>
    </w:rPr>
  </w:style>
  <w:style w:type="character" w:customStyle="1" w:styleId="Heading4Char">
    <w:name w:val="Heading 4 Char"/>
    <w:aliases w:val="WEDC - Heading 4 Char"/>
    <w:link w:val="Heading4"/>
    <w:rPr>
      <w:rFonts w:ascii="Arial" w:hAnsi="Arial" w:cs="Arial"/>
      <w:b/>
      <w:i/>
      <w:iCs/>
      <w:color w:val="000000"/>
      <w:sz w:val="23"/>
      <w:szCs w:val="28"/>
      <w:lang w:val="en-GB" w:eastAsia="en-US" w:bidi="ar-SA"/>
    </w:rPr>
  </w:style>
  <w:style w:type="paragraph" w:customStyle="1" w:styleId="WEDC-36thWEDCConference">
    <w:name w:val="WEDC - 36th WEDC Conference"/>
    <w:pPr>
      <w:spacing w:before="300"/>
      <w:jc w:val="center"/>
    </w:pPr>
    <w:rPr>
      <w:b/>
      <w:bCs/>
      <w:color w:val="000000"/>
      <w:sz w:val="24"/>
      <w:szCs w:val="24"/>
      <w:lang w:val="en-US"/>
    </w:rPr>
  </w:style>
  <w:style w:type="paragraph" w:customStyle="1" w:styleId="WEDC-Boxtitle">
    <w:name w:val="WEDC - Box title"/>
    <w:link w:val="WEDC-BoxtitleCharChar"/>
    <w:pPr>
      <w:jc w:val="center"/>
    </w:pPr>
    <w:rPr>
      <w:rFonts w:ascii="Arial" w:hAnsi="Arial" w:cs="Arial"/>
      <w:b/>
      <w:sz w:val="22"/>
      <w:lang w:val="en-GB"/>
    </w:rPr>
  </w:style>
  <w:style w:type="character" w:customStyle="1" w:styleId="WEDC-BoxtitleCharChar">
    <w:name w:val="WEDC - Box title Char Char"/>
    <w:link w:val="WEDC-Boxtitle"/>
    <w:rPr>
      <w:rFonts w:ascii="Arial" w:hAnsi="Arial" w:cs="Arial"/>
      <w:b/>
      <w:sz w:val="22"/>
      <w:lang w:val="en-GB" w:eastAsia="en-US" w:bidi="ar-SA"/>
    </w:rPr>
  </w:style>
  <w:style w:type="paragraph" w:customStyle="1" w:styleId="WEDC-Bodytextwithbulletpoint2">
    <w:name w:val="WEDC - Body text with bullet point 2"/>
    <w:next w:val="Normal"/>
    <w:pPr>
      <w:numPr>
        <w:numId w:val="15"/>
      </w:numPr>
    </w:pPr>
    <w:rPr>
      <w:bCs/>
      <w:color w:val="000000"/>
      <w:spacing w:val="-2"/>
      <w:lang w:val="en-GB"/>
    </w:rPr>
  </w:style>
  <w:style w:type="character" w:customStyle="1" w:styleId="WEDC-BodytextindentedCharChar">
    <w:name w:val="WEDC - Body text indented Char Char"/>
    <w:link w:val="WEDC-Bodytextindented"/>
    <w:rsid w:val="008728AE"/>
    <w:rPr>
      <w:bCs/>
      <w:color w:val="000000"/>
      <w:spacing w:val="-2"/>
      <w:lang w:val="en-GB"/>
    </w:rPr>
  </w:style>
  <w:style w:type="paragraph" w:customStyle="1" w:styleId="WEDC-Boxtextwithbullets">
    <w:name w:val="WEDC - Box text with bullets"/>
    <w:link w:val="WEDC-BoxtextwithbulletsCharChar"/>
    <w:pPr>
      <w:numPr>
        <w:numId w:val="16"/>
      </w:numPr>
      <w:tabs>
        <w:tab w:val="left" w:pos="170"/>
        <w:tab w:val="left" w:pos="510"/>
      </w:tabs>
    </w:pPr>
    <w:rPr>
      <w:rFonts w:ascii="Arial" w:hAnsi="Arial" w:cs="Arial"/>
      <w:sz w:val="17"/>
      <w:lang w:val="en-GB"/>
    </w:rPr>
  </w:style>
  <w:style w:type="character" w:customStyle="1" w:styleId="WEDC-BoxtextwithbulletsCharChar">
    <w:name w:val="WEDC - Box text with bullets Char Char"/>
    <w:link w:val="WEDC-Boxtextwithbullets"/>
    <w:rPr>
      <w:rFonts w:ascii="Arial" w:hAnsi="Arial" w:cs="Arial"/>
      <w:sz w:val="17"/>
      <w:lang w:val="en-GB" w:eastAsia="en-US" w:bidi="ar-SA"/>
    </w:rPr>
  </w:style>
  <w:style w:type="character" w:customStyle="1" w:styleId="WEDC-050spaceCharChar">
    <w:name w:val="WEDC - 0.50 space Char Char"/>
    <w:link w:val="WEDC-050space"/>
    <w:rPr>
      <w:sz w:val="18"/>
      <w:szCs w:val="12"/>
      <w:lang w:val="en-US" w:eastAsia="en-US" w:bidi="ar-SA"/>
    </w:rPr>
  </w:style>
  <w:style w:type="paragraph" w:customStyle="1" w:styleId="Default">
    <w:name w:val="Default"/>
    <w:rsid w:val="001021C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rPr>
  </w:style>
  <w:style w:type="paragraph" w:customStyle="1" w:styleId="WEDC-Source">
    <w:name w:val="WEDC - Source"/>
    <w:pPr>
      <w:spacing w:line="190" w:lineRule="atLeast"/>
      <w:jc w:val="center"/>
    </w:pPr>
    <w:rPr>
      <w:rFonts w:ascii="Arial" w:hAnsi="Arial" w:cs="Arial"/>
      <w:bCs/>
      <w:sz w:val="16"/>
      <w:szCs w:val="16"/>
      <w:lang w:val="en-GB"/>
    </w:rPr>
  </w:style>
  <w:style w:type="paragraph" w:customStyle="1" w:styleId="WEDC-Phototitle">
    <w:name w:val="WEDC - Photo title"/>
    <w:pPr>
      <w:spacing w:line="240" w:lineRule="atLeast"/>
      <w:jc w:val="center"/>
    </w:pPr>
    <w:rPr>
      <w:rFonts w:ascii="Arial" w:hAnsi="Arial" w:cs="Arial"/>
      <w:b/>
      <w:sz w:val="18"/>
      <w:lang w:val="en-GB"/>
    </w:rPr>
  </w:style>
  <w:style w:type="paragraph" w:styleId="FootnoteText">
    <w:name w:val="footnote text"/>
    <w:basedOn w:val="Normal"/>
    <w:link w:val="FootnoteTextChar"/>
    <w:uiPriority w:val="99"/>
    <w:unhideWhenUsed/>
    <w:rsid w:val="00706589"/>
    <w:pPr>
      <w:pBdr>
        <w:top w:val="nil"/>
        <w:left w:val="nil"/>
        <w:bottom w:val="nil"/>
        <w:right w:val="nil"/>
        <w:between w:val="nil"/>
        <w:bar w:val="nil"/>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pPr>
    <w:rPr>
      <w:rFonts w:eastAsia="Arial Unicode MS"/>
      <w:bCs w:val="0"/>
      <w:color w:val="auto"/>
      <w:sz w:val="24"/>
      <w:bdr w:val="nil"/>
      <w:lang w:val="en-AU"/>
    </w:rPr>
  </w:style>
  <w:style w:type="character" w:customStyle="1" w:styleId="FootnoteTextChar">
    <w:name w:val="Footnote Text Char"/>
    <w:basedOn w:val="DefaultParagraphFont"/>
    <w:link w:val="FootnoteText"/>
    <w:uiPriority w:val="99"/>
    <w:rsid w:val="00706589"/>
    <w:rPr>
      <w:rFonts w:eastAsia="Arial Unicode MS"/>
      <w:sz w:val="24"/>
      <w:szCs w:val="24"/>
      <w:bdr w:val="nil"/>
    </w:rPr>
  </w:style>
  <w:style w:type="character" w:styleId="FootnoteReference">
    <w:name w:val="footnote reference"/>
    <w:basedOn w:val="DefaultParagraphFont"/>
    <w:uiPriority w:val="99"/>
    <w:unhideWhenUsed/>
    <w:rsid w:val="00706589"/>
    <w:rPr>
      <w:vertAlign w:val="superscript"/>
    </w:rPr>
  </w:style>
  <w:style w:type="table" w:styleId="LightGrid-Accent1">
    <w:name w:val="Light Grid Accent 1"/>
    <w:basedOn w:val="TableNormal"/>
    <w:uiPriority w:val="62"/>
    <w:rsid w:val="00706589"/>
    <w:pPr>
      <w:pBdr>
        <w:top w:val="nil"/>
        <w:left w:val="nil"/>
        <w:bottom w:val="nil"/>
        <w:right w:val="nil"/>
        <w:between w:val="nil"/>
        <w:bar w:val="nil"/>
      </w:pBdr>
    </w:pPr>
    <w:rPr>
      <w:rFonts w:eastAsia="Arial Unicode MS"/>
      <w:sz w:val="24"/>
      <w:szCs w:val="24"/>
      <w:bdr w:val="n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
    <w:name w:val="EndNote Bibliography"/>
    <w:basedOn w:val="Normal"/>
    <w:rsid w:val="00FB028B"/>
    <w:pPr>
      <w:pBdr>
        <w:top w:val="nil"/>
        <w:left w:val="nil"/>
        <w:bottom w:val="nil"/>
        <w:right w:val="nil"/>
        <w:between w:val="nil"/>
        <w:bar w:val="nil"/>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jc w:val="left"/>
    </w:pPr>
    <w:rPr>
      <w:rFonts w:ascii="Times Roman" w:eastAsia="Arial Unicode MS" w:hAnsi="Times Roman"/>
      <w:bCs w:val="0"/>
      <w:color w:val="auto"/>
      <w:sz w:val="24"/>
      <w:bdr w:val="nil"/>
    </w:rPr>
  </w:style>
  <w:style w:type="paragraph" w:styleId="ListParagraph">
    <w:name w:val="List Paragraph"/>
    <w:basedOn w:val="Normal"/>
    <w:uiPriority w:val="34"/>
    <w:qFormat/>
    <w:rsid w:val="001037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autoSpaceDE/>
      <w:autoSpaceDN/>
      <w:adjustRightInd/>
      <w:spacing w:before="0" w:after="0" w:line="240" w:lineRule="auto"/>
      <w:ind w:left="720"/>
      <w:contextualSpacing/>
      <w:jc w:val="left"/>
    </w:pPr>
    <w:rPr>
      <w:rFonts w:asciiTheme="minorHAnsi" w:eastAsiaTheme="minorEastAsia" w:hAnsiTheme="minorHAnsi" w:cstheme="minorBidi"/>
      <w:bCs w:val="0"/>
      <w:color w:val="auto"/>
      <w:sz w:val="24"/>
      <w:lang w:val="en-AU"/>
    </w:rPr>
  </w:style>
  <w:style w:type="character" w:customStyle="1" w:styleId="SubtitleChar">
    <w:name w:val="Subtitle Char"/>
    <w:basedOn w:val="DefaultParagraphFont"/>
    <w:link w:val="Subtitle"/>
    <w:uiPriority w:val="11"/>
    <w:rsid w:val="00814DCC"/>
    <w:rPr>
      <w:rFonts w:ascii="Arial" w:hAnsi="Arial" w:cs="Arial"/>
      <w:bCs/>
      <w:color w:val="000000"/>
      <w:sz w:val="24"/>
      <w:szCs w:val="24"/>
      <w:lang w:val="en-US"/>
    </w:rPr>
  </w:style>
  <w:style w:type="paragraph" w:styleId="Revision">
    <w:name w:val="Revision"/>
    <w:hidden/>
    <w:uiPriority w:val="99"/>
    <w:semiHidden/>
    <w:rsid w:val="00395635"/>
    <w:rPr>
      <w:bC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4541">
      <w:bodyDiv w:val="1"/>
      <w:marLeft w:val="0"/>
      <w:marRight w:val="0"/>
      <w:marTop w:val="0"/>
      <w:marBottom w:val="0"/>
      <w:divBdr>
        <w:top w:val="none" w:sz="0" w:space="0" w:color="auto"/>
        <w:left w:val="none" w:sz="0" w:space="0" w:color="auto"/>
        <w:bottom w:val="none" w:sz="0" w:space="0" w:color="auto"/>
        <w:right w:val="none" w:sz="0" w:space="0" w:color="auto"/>
      </w:divBdr>
    </w:div>
    <w:div w:id="83954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016C-4A01-4AA6-901B-BD0A4CD9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WEDC International Conference Paper</vt:lpstr>
    </vt:vector>
  </TitlesOfParts>
  <Company>Loughborough University</Company>
  <LinksUpToDate>false</LinksUpToDate>
  <CharactersWithSpaces>24372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WEDC International Conference Paper</dc:title>
  <dc:creator>Staff/Research Student</dc:creator>
  <cp:lastModifiedBy>Robert Fraser</cp:lastModifiedBy>
  <cp:revision>2</cp:revision>
  <cp:lastPrinted>2007-05-02T12:13:00Z</cp:lastPrinted>
  <dcterms:created xsi:type="dcterms:W3CDTF">2015-07-16T11:59:00Z</dcterms:created>
  <dcterms:modified xsi:type="dcterms:W3CDTF">2015-07-16T11:59:00Z</dcterms:modified>
</cp:coreProperties>
</file>