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34090" w14:textId="77777777" w:rsidR="000C46FD" w:rsidRDefault="005B6A57">
      <w:pPr>
        <w:pStyle w:val="TOC1"/>
        <w:tabs>
          <w:tab w:val="right" w:leader="dot" w:pos="9730"/>
        </w:tabs>
        <w:rPr>
          <w:rFonts w:asciiTheme="minorHAnsi" w:eastAsiaTheme="minorEastAsia" w:hAnsiTheme="minorHAnsi"/>
          <w:noProof/>
          <w:lang w:val="en-GB" w:eastAsia="en-GB"/>
        </w:rPr>
      </w:pPr>
      <w:r>
        <w:fldChar w:fldCharType="begin"/>
      </w:r>
      <w:r>
        <w:instrText xml:space="preserve"> TOC \o "1-2" </w:instrText>
      </w:r>
      <w:r>
        <w:fldChar w:fldCharType="separate"/>
      </w:r>
      <w:r w:rsidR="000C46FD">
        <w:rPr>
          <w:noProof/>
        </w:rPr>
        <w:t>Purpose</w:t>
      </w:r>
      <w:r w:rsidR="000C46FD">
        <w:rPr>
          <w:noProof/>
        </w:rPr>
        <w:tab/>
      </w:r>
      <w:r w:rsidR="000C46FD">
        <w:rPr>
          <w:noProof/>
        </w:rPr>
        <w:fldChar w:fldCharType="begin"/>
      </w:r>
      <w:r w:rsidR="000C46FD">
        <w:rPr>
          <w:noProof/>
        </w:rPr>
        <w:instrText xml:space="preserve"> PAGEREF _Toc420755101 \h </w:instrText>
      </w:r>
      <w:r w:rsidR="000C46FD">
        <w:rPr>
          <w:noProof/>
        </w:rPr>
      </w:r>
      <w:r w:rsidR="000C46FD">
        <w:rPr>
          <w:noProof/>
        </w:rPr>
        <w:fldChar w:fldCharType="separate"/>
      </w:r>
      <w:r w:rsidR="000C46FD">
        <w:rPr>
          <w:noProof/>
        </w:rPr>
        <w:t>2</w:t>
      </w:r>
      <w:r w:rsidR="000C46FD">
        <w:rPr>
          <w:noProof/>
        </w:rPr>
        <w:fldChar w:fldCharType="end"/>
      </w:r>
    </w:p>
    <w:p w14:paraId="5460B56B"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Introduction</w:t>
      </w:r>
      <w:r>
        <w:rPr>
          <w:noProof/>
        </w:rPr>
        <w:tab/>
      </w:r>
      <w:r>
        <w:rPr>
          <w:noProof/>
        </w:rPr>
        <w:fldChar w:fldCharType="begin"/>
      </w:r>
      <w:r>
        <w:rPr>
          <w:noProof/>
        </w:rPr>
        <w:instrText xml:space="preserve"> PAGEREF _Toc420755102 \h </w:instrText>
      </w:r>
      <w:r>
        <w:rPr>
          <w:noProof/>
        </w:rPr>
      </w:r>
      <w:r>
        <w:rPr>
          <w:noProof/>
        </w:rPr>
        <w:fldChar w:fldCharType="separate"/>
      </w:r>
      <w:r>
        <w:rPr>
          <w:noProof/>
        </w:rPr>
        <w:t>2</w:t>
      </w:r>
      <w:r>
        <w:rPr>
          <w:noProof/>
        </w:rPr>
        <w:fldChar w:fldCharType="end"/>
      </w:r>
    </w:p>
    <w:p w14:paraId="1D1CB34C"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Associated Guidance Notes</w:t>
      </w:r>
      <w:r>
        <w:rPr>
          <w:noProof/>
        </w:rPr>
        <w:tab/>
      </w:r>
      <w:r>
        <w:rPr>
          <w:noProof/>
        </w:rPr>
        <w:fldChar w:fldCharType="begin"/>
      </w:r>
      <w:r>
        <w:rPr>
          <w:noProof/>
        </w:rPr>
        <w:instrText xml:space="preserve"> PAGEREF _Toc420755103 \h </w:instrText>
      </w:r>
      <w:r>
        <w:rPr>
          <w:noProof/>
        </w:rPr>
      </w:r>
      <w:r>
        <w:rPr>
          <w:noProof/>
        </w:rPr>
        <w:fldChar w:fldCharType="separate"/>
      </w:r>
      <w:r>
        <w:rPr>
          <w:noProof/>
        </w:rPr>
        <w:t>2</w:t>
      </w:r>
      <w:r>
        <w:rPr>
          <w:noProof/>
        </w:rPr>
        <w:fldChar w:fldCharType="end"/>
      </w:r>
    </w:p>
    <w:p w14:paraId="711733E3"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Guiding Framework</w:t>
      </w:r>
      <w:r>
        <w:rPr>
          <w:noProof/>
        </w:rPr>
        <w:tab/>
      </w:r>
      <w:r>
        <w:rPr>
          <w:noProof/>
        </w:rPr>
        <w:fldChar w:fldCharType="begin"/>
      </w:r>
      <w:r>
        <w:rPr>
          <w:noProof/>
        </w:rPr>
        <w:instrText xml:space="preserve"> PAGEREF _Toc420755104 \h </w:instrText>
      </w:r>
      <w:r>
        <w:rPr>
          <w:noProof/>
        </w:rPr>
      </w:r>
      <w:r>
        <w:rPr>
          <w:noProof/>
        </w:rPr>
        <w:fldChar w:fldCharType="separate"/>
      </w:r>
      <w:r>
        <w:rPr>
          <w:noProof/>
        </w:rPr>
        <w:t>3</w:t>
      </w:r>
      <w:r>
        <w:rPr>
          <w:noProof/>
        </w:rPr>
        <w:fldChar w:fldCharType="end"/>
      </w:r>
      <w:bookmarkStart w:id="0" w:name="_GoBack"/>
      <w:bookmarkEnd w:id="0"/>
    </w:p>
    <w:p w14:paraId="222E7E08"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Goals</w:t>
      </w:r>
      <w:r>
        <w:rPr>
          <w:noProof/>
        </w:rPr>
        <w:tab/>
      </w:r>
      <w:r>
        <w:rPr>
          <w:noProof/>
        </w:rPr>
        <w:fldChar w:fldCharType="begin"/>
      </w:r>
      <w:r>
        <w:rPr>
          <w:noProof/>
        </w:rPr>
        <w:instrText xml:space="preserve"> PAGEREF _Toc420755105 \h </w:instrText>
      </w:r>
      <w:r>
        <w:rPr>
          <w:noProof/>
        </w:rPr>
      </w:r>
      <w:r>
        <w:rPr>
          <w:noProof/>
        </w:rPr>
        <w:fldChar w:fldCharType="separate"/>
      </w:r>
      <w:r>
        <w:rPr>
          <w:noProof/>
        </w:rPr>
        <w:t>3</w:t>
      </w:r>
      <w:r>
        <w:rPr>
          <w:noProof/>
        </w:rPr>
        <w:fldChar w:fldCharType="end"/>
      </w:r>
    </w:p>
    <w:p w14:paraId="6CA5C867"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Conditions</w:t>
      </w:r>
      <w:r>
        <w:rPr>
          <w:noProof/>
        </w:rPr>
        <w:tab/>
      </w:r>
      <w:r>
        <w:rPr>
          <w:noProof/>
        </w:rPr>
        <w:fldChar w:fldCharType="begin"/>
      </w:r>
      <w:r>
        <w:rPr>
          <w:noProof/>
        </w:rPr>
        <w:instrText xml:space="preserve"> PAGEREF _Toc420755106 \h </w:instrText>
      </w:r>
      <w:r>
        <w:rPr>
          <w:noProof/>
        </w:rPr>
      </w:r>
      <w:r>
        <w:rPr>
          <w:noProof/>
        </w:rPr>
        <w:fldChar w:fldCharType="separate"/>
      </w:r>
      <w:r>
        <w:rPr>
          <w:noProof/>
        </w:rPr>
        <w:t>3</w:t>
      </w:r>
      <w:r>
        <w:rPr>
          <w:noProof/>
        </w:rPr>
        <w:fldChar w:fldCharType="end"/>
      </w:r>
    </w:p>
    <w:p w14:paraId="2F060CE8"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Defining and Monitoring Service Quality</w:t>
      </w:r>
      <w:r>
        <w:rPr>
          <w:noProof/>
        </w:rPr>
        <w:tab/>
      </w:r>
      <w:r>
        <w:rPr>
          <w:noProof/>
        </w:rPr>
        <w:fldChar w:fldCharType="begin"/>
      </w:r>
      <w:r>
        <w:rPr>
          <w:noProof/>
        </w:rPr>
        <w:instrText xml:space="preserve"> PAGEREF _Toc420755107 \h </w:instrText>
      </w:r>
      <w:r>
        <w:rPr>
          <w:noProof/>
        </w:rPr>
      </w:r>
      <w:r>
        <w:rPr>
          <w:noProof/>
        </w:rPr>
        <w:fldChar w:fldCharType="separate"/>
      </w:r>
      <w:r>
        <w:rPr>
          <w:noProof/>
        </w:rPr>
        <w:t>5</w:t>
      </w:r>
      <w:r>
        <w:rPr>
          <w:noProof/>
        </w:rPr>
        <w:fldChar w:fldCharType="end"/>
      </w:r>
    </w:p>
    <w:p w14:paraId="1629F2EE"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Technical Notes</w:t>
      </w:r>
      <w:r>
        <w:rPr>
          <w:noProof/>
        </w:rPr>
        <w:tab/>
      </w:r>
      <w:r>
        <w:rPr>
          <w:noProof/>
        </w:rPr>
        <w:fldChar w:fldCharType="begin"/>
      </w:r>
      <w:r>
        <w:rPr>
          <w:noProof/>
        </w:rPr>
        <w:instrText xml:space="preserve"> PAGEREF _Toc420755108 \h </w:instrText>
      </w:r>
      <w:r>
        <w:rPr>
          <w:noProof/>
        </w:rPr>
      </w:r>
      <w:r>
        <w:rPr>
          <w:noProof/>
        </w:rPr>
        <w:fldChar w:fldCharType="separate"/>
      </w:r>
      <w:r>
        <w:rPr>
          <w:noProof/>
        </w:rPr>
        <w:t>7</w:t>
      </w:r>
      <w:r>
        <w:rPr>
          <w:noProof/>
        </w:rPr>
        <w:fldChar w:fldCharType="end"/>
      </w:r>
    </w:p>
    <w:p w14:paraId="62595559"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An Enabling Environment</w:t>
      </w:r>
      <w:r>
        <w:rPr>
          <w:noProof/>
        </w:rPr>
        <w:tab/>
      </w:r>
      <w:r>
        <w:rPr>
          <w:noProof/>
        </w:rPr>
        <w:fldChar w:fldCharType="begin"/>
      </w:r>
      <w:r>
        <w:rPr>
          <w:noProof/>
        </w:rPr>
        <w:instrText xml:space="preserve"> PAGEREF _Toc420755109 \h </w:instrText>
      </w:r>
      <w:r>
        <w:rPr>
          <w:noProof/>
        </w:rPr>
      </w:r>
      <w:r>
        <w:rPr>
          <w:noProof/>
        </w:rPr>
        <w:fldChar w:fldCharType="separate"/>
      </w:r>
      <w:r>
        <w:rPr>
          <w:noProof/>
        </w:rPr>
        <w:t>9</w:t>
      </w:r>
      <w:r>
        <w:rPr>
          <w:noProof/>
        </w:rPr>
        <w:fldChar w:fldCharType="end"/>
      </w:r>
    </w:p>
    <w:p w14:paraId="182C1CB6"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System Design Considerations</w:t>
      </w:r>
      <w:r>
        <w:rPr>
          <w:noProof/>
        </w:rPr>
        <w:tab/>
      </w:r>
      <w:r>
        <w:rPr>
          <w:noProof/>
        </w:rPr>
        <w:fldChar w:fldCharType="begin"/>
      </w:r>
      <w:r>
        <w:rPr>
          <w:noProof/>
        </w:rPr>
        <w:instrText xml:space="preserve"> PAGEREF _Toc420755110 \h </w:instrText>
      </w:r>
      <w:r>
        <w:rPr>
          <w:noProof/>
        </w:rPr>
      </w:r>
      <w:r>
        <w:rPr>
          <w:noProof/>
        </w:rPr>
        <w:fldChar w:fldCharType="separate"/>
      </w:r>
      <w:r>
        <w:rPr>
          <w:noProof/>
        </w:rPr>
        <w:t>11</w:t>
      </w:r>
      <w:r>
        <w:rPr>
          <w:noProof/>
        </w:rPr>
        <w:fldChar w:fldCharType="end"/>
      </w:r>
    </w:p>
    <w:p w14:paraId="6F5642BD"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Technical Feasibility</w:t>
      </w:r>
      <w:r>
        <w:rPr>
          <w:noProof/>
        </w:rPr>
        <w:tab/>
      </w:r>
      <w:r>
        <w:rPr>
          <w:noProof/>
        </w:rPr>
        <w:fldChar w:fldCharType="begin"/>
      </w:r>
      <w:r>
        <w:rPr>
          <w:noProof/>
        </w:rPr>
        <w:instrText xml:space="preserve"> PAGEREF _Toc420755111 \h </w:instrText>
      </w:r>
      <w:r>
        <w:rPr>
          <w:noProof/>
        </w:rPr>
      </w:r>
      <w:r>
        <w:rPr>
          <w:noProof/>
        </w:rPr>
        <w:fldChar w:fldCharType="separate"/>
      </w:r>
      <w:r>
        <w:rPr>
          <w:noProof/>
        </w:rPr>
        <w:t>11</w:t>
      </w:r>
      <w:r>
        <w:rPr>
          <w:noProof/>
        </w:rPr>
        <w:fldChar w:fldCharType="end"/>
      </w:r>
    </w:p>
    <w:p w14:paraId="5B4B3795"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The Principle of Participation</w:t>
      </w:r>
      <w:r>
        <w:rPr>
          <w:noProof/>
        </w:rPr>
        <w:tab/>
      </w:r>
      <w:r>
        <w:rPr>
          <w:noProof/>
        </w:rPr>
        <w:fldChar w:fldCharType="begin"/>
      </w:r>
      <w:r>
        <w:rPr>
          <w:noProof/>
        </w:rPr>
        <w:instrText xml:space="preserve"> PAGEREF _Toc420755112 \h </w:instrText>
      </w:r>
      <w:r>
        <w:rPr>
          <w:noProof/>
        </w:rPr>
      </w:r>
      <w:r>
        <w:rPr>
          <w:noProof/>
        </w:rPr>
        <w:fldChar w:fldCharType="separate"/>
      </w:r>
      <w:r>
        <w:rPr>
          <w:noProof/>
        </w:rPr>
        <w:t>11</w:t>
      </w:r>
      <w:r>
        <w:rPr>
          <w:noProof/>
        </w:rPr>
        <w:fldChar w:fldCharType="end"/>
      </w:r>
    </w:p>
    <w:p w14:paraId="6FA030C2"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Supplying Demand</w:t>
      </w:r>
      <w:r>
        <w:rPr>
          <w:noProof/>
        </w:rPr>
        <w:tab/>
      </w:r>
      <w:r>
        <w:rPr>
          <w:noProof/>
        </w:rPr>
        <w:fldChar w:fldCharType="begin"/>
      </w:r>
      <w:r>
        <w:rPr>
          <w:noProof/>
        </w:rPr>
        <w:instrText xml:space="preserve"> PAGEREF _Toc420755113 \h </w:instrText>
      </w:r>
      <w:r>
        <w:rPr>
          <w:noProof/>
        </w:rPr>
      </w:r>
      <w:r>
        <w:rPr>
          <w:noProof/>
        </w:rPr>
        <w:fldChar w:fldCharType="separate"/>
      </w:r>
      <w:r>
        <w:rPr>
          <w:noProof/>
        </w:rPr>
        <w:t>12</w:t>
      </w:r>
      <w:r>
        <w:rPr>
          <w:noProof/>
        </w:rPr>
        <w:fldChar w:fldCharType="end"/>
      </w:r>
    </w:p>
    <w:p w14:paraId="6F7B7650"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Providing Safe Water</w:t>
      </w:r>
      <w:r>
        <w:rPr>
          <w:noProof/>
        </w:rPr>
        <w:tab/>
      </w:r>
      <w:r>
        <w:rPr>
          <w:noProof/>
        </w:rPr>
        <w:fldChar w:fldCharType="begin"/>
      </w:r>
      <w:r>
        <w:rPr>
          <w:noProof/>
        </w:rPr>
        <w:instrText xml:space="preserve"> PAGEREF _Toc420755114 \h </w:instrText>
      </w:r>
      <w:r>
        <w:rPr>
          <w:noProof/>
        </w:rPr>
      </w:r>
      <w:r>
        <w:rPr>
          <w:noProof/>
        </w:rPr>
        <w:fldChar w:fldCharType="separate"/>
      </w:r>
      <w:r>
        <w:rPr>
          <w:noProof/>
        </w:rPr>
        <w:t>12</w:t>
      </w:r>
      <w:r>
        <w:rPr>
          <w:noProof/>
        </w:rPr>
        <w:fldChar w:fldCharType="end"/>
      </w:r>
    </w:p>
    <w:p w14:paraId="6E76D45E"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Selecting a Service Provider</w:t>
      </w:r>
      <w:r>
        <w:rPr>
          <w:noProof/>
        </w:rPr>
        <w:tab/>
      </w:r>
      <w:r>
        <w:rPr>
          <w:noProof/>
        </w:rPr>
        <w:fldChar w:fldCharType="begin"/>
      </w:r>
      <w:r>
        <w:rPr>
          <w:noProof/>
        </w:rPr>
        <w:instrText xml:space="preserve"> PAGEREF _Toc420755115 \h </w:instrText>
      </w:r>
      <w:r>
        <w:rPr>
          <w:noProof/>
        </w:rPr>
      </w:r>
      <w:r>
        <w:rPr>
          <w:noProof/>
        </w:rPr>
        <w:fldChar w:fldCharType="separate"/>
      </w:r>
      <w:r>
        <w:rPr>
          <w:noProof/>
        </w:rPr>
        <w:t>14</w:t>
      </w:r>
      <w:r>
        <w:rPr>
          <w:noProof/>
        </w:rPr>
        <w:fldChar w:fldCharType="end"/>
      </w:r>
    </w:p>
    <w:p w14:paraId="5FBE1D59"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Models of Service Provision</w:t>
      </w:r>
      <w:r>
        <w:rPr>
          <w:noProof/>
        </w:rPr>
        <w:tab/>
      </w:r>
      <w:r>
        <w:rPr>
          <w:noProof/>
        </w:rPr>
        <w:fldChar w:fldCharType="begin"/>
      </w:r>
      <w:r>
        <w:rPr>
          <w:noProof/>
        </w:rPr>
        <w:instrText xml:space="preserve"> PAGEREF _Toc420755116 \h </w:instrText>
      </w:r>
      <w:r>
        <w:rPr>
          <w:noProof/>
        </w:rPr>
      </w:r>
      <w:r>
        <w:rPr>
          <w:noProof/>
        </w:rPr>
        <w:fldChar w:fldCharType="separate"/>
      </w:r>
      <w:r>
        <w:rPr>
          <w:noProof/>
        </w:rPr>
        <w:t>14</w:t>
      </w:r>
      <w:r>
        <w:rPr>
          <w:noProof/>
        </w:rPr>
        <w:fldChar w:fldCharType="end"/>
      </w:r>
    </w:p>
    <w:p w14:paraId="1B78BB46"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Planning for Cost Recovery</w:t>
      </w:r>
      <w:r>
        <w:rPr>
          <w:noProof/>
        </w:rPr>
        <w:tab/>
      </w:r>
      <w:r>
        <w:rPr>
          <w:noProof/>
        </w:rPr>
        <w:fldChar w:fldCharType="begin"/>
      </w:r>
      <w:r>
        <w:rPr>
          <w:noProof/>
        </w:rPr>
        <w:instrText xml:space="preserve"> PAGEREF _Toc420755117 \h </w:instrText>
      </w:r>
      <w:r>
        <w:rPr>
          <w:noProof/>
        </w:rPr>
      </w:r>
      <w:r>
        <w:rPr>
          <w:noProof/>
        </w:rPr>
        <w:fldChar w:fldCharType="separate"/>
      </w:r>
      <w:r>
        <w:rPr>
          <w:noProof/>
        </w:rPr>
        <w:t>16</w:t>
      </w:r>
      <w:r>
        <w:rPr>
          <w:noProof/>
        </w:rPr>
        <w:fldChar w:fldCharType="end"/>
      </w:r>
    </w:p>
    <w:p w14:paraId="01B51B0A" w14:textId="77777777" w:rsidR="000C46FD" w:rsidRDefault="000C46FD">
      <w:pPr>
        <w:pStyle w:val="TOC2"/>
        <w:tabs>
          <w:tab w:val="right" w:leader="dot" w:pos="9730"/>
        </w:tabs>
        <w:rPr>
          <w:rFonts w:asciiTheme="minorHAnsi" w:eastAsiaTheme="minorEastAsia" w:hAnsiTheme="minorHAnsi"/>
          <w:noProof/>
          <w:lang w:val="en-GB" w:eastAsia="en-GB"/>
        </w:rPr>
      </w:pPr>
      <w:r w:rsidRPr="001E5B3D">
        <w:rPr>
          <w:noProof/>
          <w:lang w:val="en-US"/>
        </w:rPr>
        <w:t>Preparing a Plan for Cost Recovery</w:t>
      </w:r>
      <w:r>
        <w:rPr>
          <w:noProof/>
        </w:rPr>
        <w:tab/>
      </w:r>
      <w:r>
        <w:rPr>
          <w:noProof/>
        </w:rPr>
        <w:fldChar w:fldCharType="begin"/>
      </w:r>
      <w:r>
        <w:rPr>
          <w:noProof/>
        </w:rPr>
        <w:instrText xml:space="preserve"> PAGEREF _Toc420755118 \h </w:instrText>
      </w:r>
      <w:r>
        <w:rPr>
          <w:noProof/>
        </w:rPr>
      </w:r>
      <w:r>
        <w:rPr>
          <w:noProof/>
        </w:rPr>
        <w:fldChar w:fldCharType="separate"/>
      </w:r>
      <w:r>
        <w:rPr>
          <w:noProof/>
        </w:rPr>
        <w:t>16</w:t>
      </w:r>
      <w:r>
        <w:rPr>
          <w:noProof/>
        </w:rPr>
        <w:fldChar w:fldCharType="end"/>
      </w:r>
    </w:p>
    <w:p w14:paraId="1BDB015D"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Setting a Water Tariff or Levy</w:t>
      </w:r>
      <w:r>
        <w:rPr>
          <w:noProof/>
        </w:rPr>
        <w:tab/>
      </w:r>
      <w:r>
        <w:rPr>
          <w:noProof/>
        </w:rPr>
        <w:fldChar w:fldCharType="begin"/>
      </w:r>
      <w:r>
        <w:rPr>
          <w:noProof/>
        </w:rPr>
        <w:instrText xml:space="preserve"> PAGEREF _Toc420755119 \h </w:instrText>
      </w:r>
      <w:r>
        <w:rPr>
          <w:noProof/>
        </w:rPr>
      </w:r>
      <w:r>
        <w:rPr>
          <w:noProof/>
        </w:rPr>
        <w:fldChar w:fldCharType="separate"/>
      </w:r>
      <w:r>
        <w:rPr>
          <w:noProof/>
        </w:rPr>
        <w:t>18</w:t>
      </w:r>
      <w:r>
        <w:rPr>
          <w:noProof/>
        </w:rPr>
        <w:fldChar w:fldCharType="end"/>
      </w:r>
    </w:p>
    <w:p w14:paraId="3BCFFF24" w14:textId="77777777" w:rsidR="000C46FD" w:rsidRDefault="000C46FD">
      <w:pPr>
        <w:pStyle w:val="TOC2"/>
        <w:tabs>
          <w:tab w:val="right" w:leader="dot" w:pos="9730"/>
        </w:tabs>
        <w:rPr>
          <w:rFonts w:asciiTheme="minorHAnsi" w:eastAsiaTheme="minorEastAsia" w:hAnsiTheme="minorHAnsi"/>
          <w:noProof/>
          <w:lang w:val="en-GB" w:eastAsia="en-GB"/>
        </w:rPr>
      </w:pPr>
      <w:r w:rsidRPr="001E5B3D">
        <w:rPr>
          <w:noProof/>
        </w:rPr>
        <w:t>Support from Local Government</w:t>
      </w:r>
      <w:r>
        <w:rPr>
          <w:noProof/>
        </w:rPr>
        <w:tab/>
      </w:r>
      <w:r>
        <w:rPr>
          <w:noProof/>
        </w:rPr>
        <w:fldChar w:fldCharType="begin"/>
      </w:r>
      <w:r>
        <w:rPr>
          <w:noProof/>
        </w:rPr>
        <w:instrText xml:space="preserve"> PAGEREF _Toc420755120 \h </w:instrText>
      </w:r>
      <w:r>
        <w:rPr>
          <w:noProof/>
        </w:rPr>
      </w:r>
      <w:r>
        <w:rPr>
          <w:noProof/>
        </w:rPr>
        <w:fldChar w:fldCharType="separate"/>
      </w:r>
      <w:r>
        <w:rPr>
          <w:noProof/>
        </w:rPr>
        <w:t>19</w:t>
      </w:r>
      <w:r>
        <w:rPr>
          <w:noProof/>
        </w:rPr>
        <w:fldChar w:fldCharType="end"/>
      </w:r>
    </w:p>
    <w:p w14:paraId="357BD4F5" w14:textId="77777777" w:rsidR="000C46FD" w:rsidRDefault="000C46FD">
      <w:pPr>
        <w:pStyle w:val="TOC1"/>
        <w:tabs>
          <w:tab w:val="right" w:leader="dot" w:pos="9730"/>
        </w:tabs>
        <w:rPr>
          <w:rFonts w:asciiTheme="minorHAnsi" w:eastAsiaTheme="minorEastAsia" w:hAnsiTheme="minorHAnsi"/>
          <w:noProof/>
          <w:lang w:val="en-GB" w:eastAsia="en-GB"/>
        </w:rPr>
      </w:pPr>
      <w:r>
        <w:rPr>
          <w:noProof/>
        </w:rPr>
        <w:t>Guidance on Division of Responsibilities</w:t>
      </w:r>
      <w:r>
        <w:rPr>
          <w:noProof/>
        </w:rPr>
        <w:tab/>
      </w:r>
      <w:r>
        <w:rPr>
          <w:noProof/>
        </w:rPr>
        <w:fldChar w:fldCharType="begin"/>
      </w:r>
      <w:r>
        <w:rPr>
          <w:noProof/>
        </w:rPr>
        <w:instrText xml:space="preserve"> PAGEREF _Toc420755121 \h </w:instrText>
      </w:r>
      <w:r>
        <w:rPr>
          <w:noProof/>
        </w:rPr>
      </w:r>
      <w:r>
        <w:rPr>
          <w:noProof/>
        </w:rPr>
        <w:fldChar w:fldCharType="separate"/>
      </w:r>
      <w:r>
        <w:rPr>
          <w:noProof/>
        </w:rPr>
        <w:t>21</w:t>
      </w:r>
      <w:r>
        <w:rPr>
          <w:noProof/>
        </w:rPr>
        <w:fldChar w:fldCharType="end"/>
      </w:r>
    </w:p>
    <w:p w14:paraId="6AA57C6A"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Pre-Construction</w:t>
      </w:r>
      <w:r>
        <w:rPr>
          <w:noProof/>
        </w:rPr>
        <w:tab/>
      </w:r>
      <w:r>
        <w:rPr>
          <w:noProof/>
        </w:rPr>
        <w:fldChar w:fldCharType="begin"/>
      </w:r>
      <w:r>
        <w:rPr>
          <w:noProof/>
        </w:rPr>
        <w:instrText xml:space="preserve"> PAGEREF _Toc420755122 \h </w:instrText>
      </w:r>
      <w:r>
        <w:rPr>
          <w:noProof/>
        </w:rPr>
      </w:r>
      <w:r>
        <w:rPr>
          <w:noProof/>
        </w:rPr>
        <w:fldChar w:fldCharType="separate"/>
      </w:r>
      <w:r>
        <w:rPr>
          <w:noProof/>
        </w:rPr>
        <w:t>21</w:t>
      </w:r>
      <w:r>
        <w:rPr>
          <w:noProof/>
        </w:rPr>
        <w:fldChar w:fldCharType="end"/>
      </w:r>
    </w:p>
    <w:p w14:paraId="69A2DE4C"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Construction</w:t>
      </w:r>
      <w:r>
        <w:rPr>
          <w:noProof/>
        </w:rPr>
        <w:tab/>
      </w:r>
      <w:r>
        <w:rPr>
          <w:noProof/>
        </w:rPr>
        <w:fldChar w:fldCharType="begin"/>
      </w:r>
      <w:r>
        <w:rPr>
          <w:noProof/>
        </w:rPr>
        <w:instrText xml:space="preserve"> PAGEREF _Toc420755123 \h </w:instrText>
      </w:r>
      <w:r>
        <w:rPr>
          <w:noProof/>
        </w:rPr>
      </w:r>
      <w:r>
        <w:rPr>
          <w:noProof/>
        </w:rPr>
        <w:fldChar w:fldCharType="separate"/>
      </w:r>
      <w:r>
        <w:rPr>
          <w:noProof/>
        </w:rPr>
        <w:t>21</w:t>
      </w:r>
      <w:r>
        <w:rPr>
          <w:noProof/>
        </w:rPr>
        <w:fldChar w:fldCharType="end"/>
      </w:r>
    </w:p>
    <w:p w14:paraId="28370A1D" w14:textId="77777777" w:rsidR="000C46FD" w:rsidRDefault="000C46FD">
      <w:pPr>
        <w:pStyle w:val="TOC2"/>
        <w:tabs>
          <w:tab w:val="right" w:leader="dot" w:pos="9730"/>
        </w:tabs>
        <w:rPr>
          <w:rFonts w:asciiTheme="minorHAnsi" w:eastAsiaTheme="minorEastAsia" w:hAnsiTheme="minorHAnsi"/>
          <w:noProof/>
          <w:lang w:val="en-GB" w:eastAsia="en-GB"/>
        </w:rPr>
      </w:pPr>
      <w:r>
        <w:rPr>
          <w:noProof/>
        </w:rPr>
        <w:t>Post-Construction</w:t>
      </w:r>
      <w:r>
        <w:rPr>
          <w:noProof/>
        </w:rPr>
        <w:tab/>
      </w:r>
      <w:r>
        <w:rPr>
          <w:noProof/>
        </w:rPr>
        <w:fldChar w:fldCharType="begin"/>
      </w:r>
      <w:r>
        <w:rPr>
          <w:noProof/>
        </w:rPr>
        <w:instrText xml:space="preserve"> PAGEREF _Toc420755124 \h </w:instrText>
      </w:r>
      <w:r>
        <w:rPr>
          <w:noProof/>
        </w:rPr>
      </w:r>
      <w:r>
        <w:rPr>
          <w:noProof/>
        </w:rPr>
        <w:fldChar w:fldCharType="separate"/>
      </w:r>
      <w:r>
        <w:rPr>
          <w:noProof/>
        </w:rPr>
        <w:t>22</w:t>
      </w:r>
      <w:r>
        <w:rPr>
          <w:noProof/>
        </w:rPr>
        <w:fldChar w:fldCharType="end"/>
      </w:r>
    </w:p>
    <w:p w14:paraId="69F9CDEB" w14:textId="3E5309AD" w:rsidR="000A56A0" w:rsidRPr="00CE5141" w:rsidRDefault="005B6A57" w:rsidP="005C3194">
      <w:r>
        <w:fldChar w:fldCharType="end"/>
      </w:r>
      <w:r w:rsidR="000A56A0" w:rsidRPr="00CE5141">
        <w:br w:type="page"/>
      </w:r>
    </w:p>
    <w:p w14:paraId="2F5D9D65" w14:textId="6906D8DF" w:rsidR="00241F57" w:rsidRPr="00CE5141" w:rsidRDefault="003041CE" w:rsidP="00A971DC">
      <w:pPr>
        <w:pStyle w:val="Heading1"/>
        <w:pBdr>
          <w:bottom w:val="single" w:sz="4" w:space="1" w:color="auto"/>
        </w:pBdr>
        <w:spacing w:line="360" w:lineRule="auto"/>
      </w:pPr>
      <w:bookmarkStart w:id="1" w:name="_Toc420755101"/>
      <w:r w:rsidRPr="007F7D13">
        <w:lastRenderedPageBreak/>
        <w:t>Purpose</w:t>
      </w:r>
      <w:bookmarkEnd w:id="1"/>
    </w:p>
    <w:p w14:paraId="21C9D8B7" w14:textId="77777777" w:rsidR="00055460" w:rsidRPr="00CE5141" w:rsidRDefault="00055460" w:rsidP="005C3194"/>
    <w:p w14:paraId="6240DEE6" w14:textId="77777777" w:rsidR="00055460" w:rsidRPr="00CE5141" w:rsidRDefault="00055460" w:rsidP="005C3194">
      <w:pPr>
        <w:sectPr w:rsidR="00055460" w:rsidRPr="00CE5141" w:rsidSect="00055460">
          <w:headerReference w:type="even" r:id="rId9"/>
          <w:headerReference w:type="default" r:id="rId10"/>
          <w:pgSz w:w="11900" w:h="16840"/>
          <w:pgMar w:top="1440" w:right="1080" w:bottom="1440" w:left="1080" w:header="708" w:footer="708" w:gutter="0"/>
          <w:cols w:space="708"/>
          <w:docGrid w:linePitch="360"/>
        </w:sectPr>
      </w:pPr>
    </w:p>
    <w:p w14:paraId="186E5949" w14:textId="06B52DE0" w:rsidR="00055460" w:rsidRPr="00CE5141" w:rsidRDefault="00055460" w:rsidP="007F7D13">
      <w:pPr>
        <w:pStyle w:val="Heading2"/>
      </w:pPr>
      <w:bookmarkStart w:id="2" w:name="_Toc420755102"/>
      <w:r w:rsidRPr="007F7D13">
        <w:lastRenderedPageBreak/>
        <w:t>Introduction</w:t>
      </w:r>
      <w:bookmarkEnd w:id="2"/>
    </w:p>
    <w:p w14:paraId="18E66A69" w14:textId="73B3D7BB" w:rsidR="00055460" w:rsidRPr="00CE5141" w:rsidRDefault="00055460" w:rsidP="005C3194">
      <w:r w:rsidRPr="00CE5141">
        <w:t xml:space="preserve">This guidance note </w:t>
      </w:r>
      <w:r w:rsidR="00482157">
        <w:t>aims to</w:t>
      </w:r>
      <w:r w:rsidRPr="00CE5141">
        <w:t xml:space="preserve"> assist program managers </w:t>
      </w:r>
      <w:r w:rsidR="00482157">
        <w:t>with the</w:t>
      </w:r>
      <w:r w:rsidRPr="00CE5141">
        <w:t xml:space="preserve"> design</w:t>
      </w:r>
      <w:r w:rsidR="00482157">
        <w:t xml:space="preserve"> of</w:t>
      </w:r>
      <w:r w:rsidRPr="00CE5141">
        <w:t xml:space="preserve"> sustainable rural water supply services </w:t>
      </w:r>
      <w:r w:rsidRPr="00A92553">
        <w:t>in Rwanda. The guidance note focuses on small piped water</w:t>
      </w:r>
      <w:r w:rsidRPr="00CE5141">
        <w:t xml:space="preserve"> systems and provides advice on issues concerning </w:t>
      </w:r>
      <w:r w:rsidR="00A92553">
        <w:t>service  management</w:t>
      </w:r>
      <w:r w:rsidRPr="00CE5141">
        <w:t xml:space="preserve">, how the quality of </w:t>
      </w:r>
      <w:r w:rsidR="00A92553">
        <w:t>a</w:t>
      </w:r>
      <w:r w:rsidRPr="00CE5141">
        <w:t xml:space="preserve"> service should be assessed, important considerations for </w:t>
      </w:r>
      <w:r w:rsidR="00BC1841" w:rsidRPr="00CE5141">
        <w:t xml:space="preserve">a </w:t>
      </w:r>
      <w:r w:rsidRPr="00CE5141">
        <w:t>system</w:t>
      </w:r>
      <w:r w:rsidR="00BC1841" w:rsidRPr="00CE5141">
        <w:t>’s</w:t>
      </w:r>
      <w:r w:rsidRPr="00CE5141">
        <w:t xml:space="preserve"> design and the role of national and local government agencies in supporting service provision.</w:t>
      </w:r>
    </w:p>
    <w:p w14:paraId="3E2FD40A" w14:textId="6F1C2C7E" w:rsidR="00BC1841" w:rsidRPr="00CE5141" w:rsidRDefault="006C068C" w:rsidP="005C3194">
      <w:r w:rsidRPr="00CE5141">
        <w:t xml:space="preserve">This </w:t>
      </w:r>
      <w:r w:rsidR="00A92553">
        <w:t>document</w:t>
      </w:r>
      <w:r w:rsidR="00BC1841" w:rsidRPr="00CE5141">
        <w:t xml:space="preserve"> has been developed following a </w:t>
      </w:r>
      <w:r w:rsidRPr="00CE5141">
        <w:rPr>
          <w:bCs/>
        </w:rPr>
        <w:t xml:space="preserve">study of rural water supply services in Rwanda in 2014. </w:t>
      </w:r>
      <w:r w:rsidR="002B24C3" w:rsidRPr="00CE5141">
        <w:rPr>
          <w:bCs/>
        </w:rPr>
        <w:t>The study was commissioned</w:t>
      </w:r>
      <w:r w:rsidR="008C2C14">
        <w:rPr>
          <w:bCs/>
        </w:rPr>
        <w:t xml:space="preserve"> by </w:t>
      </w:r>
      <w:r w:rsidR="0060198D">
        <w:rPr>
          <w:bCs/>
        </w:rPr>
        <w:t xml:space="preserve">the </w:t>
      </w:r>
      <w:r w:rsidR="008C2C14">
        <w:rPr>
          <w:bCs/>
        </w:rPr>
        <w:t>Norwegian Red Cross</w:t>
      </w:r>
      <w:r w:rsidR="002B24C3" w:rsidRPr="00CE5141">
        <w:rPr>
          <w:bCs/>
        </w:rPr>
        <w:t xml:space="preserve"> </w:t>
      </w:r>
      <w:r w:rsidR="0060198D">
        <w:rPr>
          <w:bCs/>
        </w:rPr>
        <w:t xml:space="preserve">Society </w:t>
      </w:r>
      <w:r w:rsidR="002B24C3" w:rsidRPr="00CE5141">
        <w:rPr>
          <w:bCs/>
        </w:rPr>
        <w:t xml:space="preserve">to learn from the </w:t>
      </w:r>
      <w:r w:rsidR="002B24C3" w:rsidRPr="00CE5141">
        <w:t>International Federation of Red Cross and Red Crescent Societies’ significant investment in rural water service provision in Rwanda, and to further guide future initiatives in the country.</w:t>
      </w:r>
    </w:p>
    <w:p w14:paraId="074DF6DE" w14:textId="216114FE" w:rsidR="00DF441C" w:rsidRPr="00CE5141" w:rsidRDefault="00E91CC9" w:rsidP="005C3194">
      <w:r>
        <w:t xml:space="preserve">This guidance note has been drafted in response to the need for a clear framework to guide the design of sustainable rural water supply services. </w:t>
      </w:r>
      <w:r w:rsidR="00DF441C" w:rsidRPr="00CE5141">
        <w:t xml:space="preserve">This focus has allowed for a degree of specificity that is not currently provided for in existing guidelines. </w:t>
      </w:r>
    </w:p>
    <w:p w14:paraId="52D59515" w14:textId="2E469A42" w:rsidR="007D2976" w:rsidRPr="00CE5141" w:rsidRDefault="00DF441C" w:rsidP="005C3194">
      <w:r w:rsidRPr="00CE5141">
        <w:t>A</w:t>
      </w:r>
      <w:r w:rsidR="007D2976" w:rsidRPr="00CE5141">
        <w:t xml:space="preserve"> </w:t>
      </w:r>
      <w:r w:rsidR="00482157">
        <w:t>framework</w:t>
      </w:r>
      <w:r w:rsidR="007D2976" w:rsidRPr="00CE5141">
        <w:t xml:space="preserve"> has been developed </w:t>
      </w:r>
      <w:r w:rsidR="00E91CC9">
        <w:t>that</w:t>
      </w:r>
      <w:r w:rsidR="007D2976" w:rsidRPr="00CE5141">
        <w:t xml:space="preserve"> identifies the key conditions that need to be in place to support sustainability. Each condition has a dedicated </w:t>
      </w:r>
      <w:r w:rsidR="002B24C3" w:rsidRPr="00CE5141">
        <w:t>chapter that explains the practical issues and considerations</w:t>
      </w:r>
      <w:r w:rsidR="007D2976" w:rsidRPr="00CE5141">
        <w:t xml:space="preserve"> that program managers need to address when designing a rural, small piped water </w:t>
      </w:r>
      <w:r w:rsidR="00E91CC9">
        <w:t>system</w:t>
      </w:r>
      <w:r w:rsidR="007D2976" w:rsidRPr="00CE5141">
        <w:t>.</w:t>
      </w:r>
    </w:p>
    <w:p w14:paraId="5FFB985C" w14:textId="6236166B" w:rsidR="00BC1841" w:rsidRPr="00CE5141" w:rsidRDefault="002B24C3" w:rsidP="005C3194">
      <w:r w:rsidRPr="00CE5141">
        <w:t>T</w:t>
      </w:r>
      <w:r w:rsidR="00A92553">
        <w:t xml:space="preserve">he </w:t>
      </w:r>
      <w:r w:rsidRPr="00CE5141">
        <w:t>intended application</w:t>
      </w:r>
      <w:r w:rsidR="007D2976" w:rsidRPr="00CE5141">
        <w:t xml:space="preserve"> is not limited to Rwanda.</w:t>
      </w:r>
      <w:r w:rsidRPr="00CE5141">
        <w:t xml:space="preserve"> This guidance note uses the case of Rwanda to illustrate the issues and challenges facing program design. It remains broadly applicable and can serve as a guide in any country where a rural, small piped water system is being planned.</w:t>
      </w:r>
    </w:p>
    <w:p w14:paraId="5210EC45" w14:textId="5670AAD7" w:rsidR="00BC1841" w:rsidRPr="00CE5141" w:rsidRDefault="003041CE" w:rsidP="007F7D13">
      <w:pPr>
        <w:pStyle w:val="Heading2"/>
      </w:pPr>
      <w:bookmarkStart w:id="3" w:name="_Toc420755103"/>
      <w:r w:rsidRPr="00CE5141">
        <w:lastRenderedPageBreak/>
        <w:t>Associated Guidance Notes</w:t>
      </w:r>
      <w:bookmarkEnd w:id="3"/>
    </w:p>
    <w:p w14:paraId="3B56D55E" w14:textId="43E2F9DC" w:rsidR="003041CE" w:rsidRPr="00CE5141" w:rsidRDefault="003041CE" w:rsidP="005C3194">
      <w:r w:rsidRPr="00CE5141">
        <w:t>This document should be read alongside the following guidance notes</w:t>
      </w:r>
      <w:r w:rsidR="007F7D13">
        <w:t xml:space="preserve"> and reference materials</w:t>
      </w:r>
      <w:r w:rsidRPr="00CE5141">
        <w:t>:</w:t>
      </w:r>
    </w:p>
    <w:p w14:paraId="4E814DC7" w14:textId="524E300A" w:rsidR="003041CE" w:rsidRDefault="003041CE" w:rsidP="00B062F1">
      <w:pPr>
        <w:pStyle w:val="ListParagraph"/>
        <w:numPr>
          <w:ilvl w:val="0"/>
          <w:numId w:val="2"/>
        </w:numPr>
        <w:spacing w:after="120"/>
        <w:ind w:left="446"/>
        <w:contextualSpacing w:val="0"/>
        <w:jc w:val="left"/>
        <w:rPr>
          <w:color w:val="auto"/>
        </w:rPr>
      </w:pPr>
      <w:r w:rsidRPr="0073181C">
        <w:rPr>
          <w:rStyle w:val="SubtitleChar"/>
          <w:sz w:val="24"/>
        </w:rPr>
        <w:t xml:space="preserve">Gender </w:t>
      </w:r>
      <w:r w:rsidR="0073181C" w:rsidRPr="0073181C">
        <w:rPr>
          <w:rStyle w:val="SubtitleChar"/>
          <w:sz w:val="24"/>
        </w:rPr>
        <w:t>in Water, Sanitation And Hygiene Promotion</w:t>
      </w:r>
      <w:r w:rsidRPr="00CE5141">
        <w:br/>
      </w:r>
      <w:r w:rsidRPr="0073181C">
        <w:rPr>
          <w:color w:val="auto"/>
        </w:rPr>
        <w:t>International Federation of Red Cross and Red Crescent Societies</w:t>
      </w:r>
      <w:r w:rsidR="00093D1D">
        <w:rPr>
          <w:color w:val="auto"/>
        </w:rPr>
        <w:t>, 2012</w:t>
      </w:r>
    </w:p>
    <w:p w14:paraId="501B8E26" w14:textId="79F91D0D" w:rsidR="00821B73" w:rsidRPr="00821B73" w:rsidRDefault="00821B73" w:rsidP="004E2132">
      <w:pPr>
        <w:pStyle w:val="ListParagraph"/>
        <w:numPr>
          <w:ilvl w:val="0"/>
          <w:numId w:val="2"/>
        </w:numPr>
        <w:spacing w:after="0"/>
        <w:ind w:left="446"/>
        <w:contextualSpacing w:val="0"/>
        <w:jc w:val="left"/>
        <w:rPr>
          <w:rStyle w:val="SubtitleChar"/>
          <w:sz w:val="24"/>
        </w:rPr>
      </w:pPr>
      <w:r w:rsidRPr="00821B73">
        <w:rPr>
          <w:rStyle w:val="SubtitleChar"/>
          <w:sz w:val="24"/>
        </w:rPr>
        <w:t>Water and Sanitation for Disabled People and Other Vulnerable Groups</w:t>
      </w:r>
    </w:p>
    <w:p w14:paraId="50EFDB07" w14:textId="32BE3F39" w:rsidR="00CC0CE8" w:rsidRPr="00821B73" w:rsidRDefault="00821B73" w:rsidP="00821B73">
      <w:pPr>
        <w:pStyle w:val="ListParagraph"/>
        <w:spacing w:after="120"/>
        <w:ind w:left="446" w:firstLine="0"/>
        <w:contextualSpacing w:val="0"/>
        <w:jc w:val="left"/>
        <w:rPr>
          <w:iCs/>
          <w:color w:val="auto"/>
        </w:rPr>
      </w:pPr>
      <w:r w:rsidRPr="00821B73">
        <w:rPr>
          <w:iCs/>
          <w:color w:val="auto"/>
        </w:rPr>
        <w:t>Water, Engineering and Development Centre (WEDC), Loughborough University</w:t>
      </w:r>
      <w:r w:rsidR="004E2132">
        <w:rPr>
          <w:iCs/>
          <w:color w:val="auto"/>
        </w:rPr>
        <w:t>, 2005</w:t>
      </w:r>
    </w:p>
    <w:p w14:paraId="0A075481" w14:textId="7F7B69EC" w:rsidR="00D41D09" w:rsidRDefault="004A5B06" w:rsidP="004E2132">
      <w:pPr>
        <w:pStyle w:val="ListParagraph"/>
        <w:numPr>
          <w:ilvl w:val="0"/>
          <w:numId w:val="2"/>
        </w:numPr>
        <w:spacing w:after="0"/>
        <w:ind w:left="446"/>
        <w:contextualSpacing w:val="0"/>
        <w:jc w:val="left"/>
        <w:rPr>
          <w:rStyle w:val="SubtitleChar"/>
          <w:sz w:val="24"/>
        </w:rPr>
      </w:pPr>
      <w:r w:rsidRPr="004A5B06">
        <w:rPr>
          <w:rStyle w:val="SubtitleChar"/>
          <w:rFonts w:hint="eastAsia"/>
          <w:sz w:val="24"/>
        </w:rPr>
        <w:t>Realising The Human Rights To Water And Sanitation:</w:t>
      </w:r>
      <w:r w:rsidRPr="004A5B06">
        <w:rPr>
          <w:rStyle w:val="SubtitleChar"/>
          <w:sz w:val="24"/>
        </w:rPr>
        <w:t xml:space="preserve"> </w:t>
      </w:r>
      <w:r w:rsidRPr="004A5B06">
        <w:rPr>
          <w:rStyle w:val="SubtitleChar"/>
          <w:rFonts w:hint="eastAsia"/>
          <w:sz w:val="24"/>
        </w:rPr>
        <w:t>A Handbook By The U</w:t>
      </w:r>
      <w:r w:rsidRPr="004A5B06">
        <w:rPr>
          <w:rStyle w:val="SubtitleChar"/>
          <w:sz w:val="24"/>
        </w:rPr>
        <w:t>N</w:t>
      </w:r>
      <w:r w:rsidRPr="004A5B06">
        <w:rPr>
          <w:rStyle w:val="SubtitleChar"/>
          <w:rFonts w:hint="eastAsia"/>
          <w:sz w:val="24"/>
        </w:rPr>
        <w:t xml:space="preserve"> Special Rapporteur</w:t>
      </w:r>
    </w:p>
    <w:p w14:paraId="43D1224B" w14:textId="741D30A9" w:rsidR="004A5B06" w:rsidRPr="004A5B06" w:rsidRDefault="004A5B06" w:rsidP="004A5B06">
      <w:pPr>
        <w:pStyle w:val="ListParagraph"/>
        <w:spacing w:after="120"/>
        <w:ind w:left="446" w:firstLine="0"/>
        <w:contextualSpacing w:val="0"/>
        <w:jc w:val="left"/>
      </w:pPr>
      <w:r w:rsidRPr="004A5B06">
        <w:rPr>
          <w:iCs/>
          <w:color w:val="auto"/>
        </w:rPr>
        <w:t>UN Special Rapporteur on the human right to safe drinking water and sanitation, 2014</w:t>
      </w:r>
    </w:p>
    <w:p w14:paraId="16760176" w14:textId="6A2AE28E" w:rsidR="004453AB" w:rsidRDefault="00994DB7" w:rsidP="004E2132">
      <w:pPr>
        <w:pStyle w:val="ListParagraph"/>
        <w:numPr>
          <w:ilvl w:val="0"/>
          <w:numId w:val="2"/>
        </w:numPr>
        <w:spacing w:after="0"/>
        <w:ind w:left="446"/>
        <w:contextualSpacing w:val="0"/>
        <w:jc w:val="left"/>
        <w:rPr>
          <w:rStyle w:val="SubtitleChar"/>
          <w:sz w:val="24"/>
        </w:rPr>
      </w:pPr>
      <w:r>
        <w:rPr>
          <w:rStyle w:val="SubtitleChar"/>
          <w:sz w:val="24"/>
        </w:rPr>
        <w:t>Water Safety Plans: Managing Drinking Water Quality from Catchment to Consumer</w:t>
      </w:r>
    </w:p>
    <w:p w14:paraId="6D2E3D5A" w14:textId="5E390D12" w:rsidR="00994DB7" w:rsidRPr="00C23D50" w:rsidRDefault="00994DB7" w:rsidP="00C23D50">
      <w:pPr>
        <w:pStyle w:val="ListParagraph"/>
        <w:spacing w:after="120"/>
        <w:ind w:left="446" w:firstLine="0"/>
        <w:contextualSpacing w:val="0"/>
        <w:jc w:val="left"/>
        <w:rPr>
          <w:rStyle w:val="SubtitleChar"/>
          <w:color w:val="auto"/>
          <w:sz w:val="24"/>
        </w:rPr>
      </w:pPr>
      <w:r w:rsidRPr="00994DB7">
        <w:rPr>
          <w:rStyle w:val="SubtitleChar"/>
          <w:color w:val="auto"/>
          <w:sz w:val="24"/>
        </w:rPr>
        <w:t xml:space="preserve">World </w:t>
      </w:r>
      <w:r w:rsidRPr="00C23D50">
        <w:t>Health</w:t>
      </w:r>
      <w:r w:rsidRPr="00994DB7">
        <w:rPr>
          <w:rStyle w:val="SubtitleChar"/>
          <w:color w:val="auto"/>
          <w:sz w:val="24"/>
        </w:rPr>
        <w:t xml:space="preserve"> Organisation</w:t>
      </w:r>
      <w:r w:rsidR="004E2132">
        <w:rPr>
          <w:rStyle w:val="SubtitleChar"/>
          <w:color w:val="auto"/>
          <w:sz w:val="24"/>
        </w:rPr>
        <w:t>, 2011</w:t>
      </w:r>
    </w:p>
    <w:p w14:paraId="73009739" w14:textId="712795CD" w:rsidR="007652FE" w:rsidRPr="007652FE" w:rsidRDefault="007652FE" w:rsidP="007652FE">
      <w:pPr>
        <w:pStyle w:val="ListParagraph"/>
        <w:numPr>
          <w:ilvl w:val="0"/>
          <w:numId w:val="2"/>
        </w:numPr>
        <w:spacing w:after="0"/>
        <w:ind w:left="446"/>
        <w:contextualSpacing w:val="0"/>
        <w:jc w:val="left"/>
        <w:rPr>
          <w:rStyle w:val="SubtitleChar"/>
          <w:sz w:val="24"/>
        </w:rPr>
      </w:pPr>
      <w:r>
        <w:rPr>
          <w:rStyle w:val="SubtitleChar"/>
          <w:sz w:val="24"/>
        </w:rPr>
        <w:t>Key D</w:t>
      </w:r>
      <w:r w:rsidRPr="007652FE">
        <w:rPr>
          <w:rStyle w:val="SubtitleChar"/>
          <w:sz w:val="24"/>
        </w:rPr>
        <w:t xml:space="preserve">eterminants of a </w:t>
      </w:r>
      <w:r>
        <w:rPr>
          <w:rStyle w:val="SubtitleChar"/>
          <w:sz w:val="24"/>
        </w:rPr>
        <w:t>Successful CBDRR P</w:t>
      </w:r>
      <w:r w:rsidRPr="007652FE">
        <w:rPr>
          <w:rStyle w:val="SubtitleChar"/>
          <w:sz w:val="24"/>
        </w:rPr>
        <w:t>rogramme</w:t>
      </w:r>
    </w:p>
    <w:p w14:paraId="0492C6B3" w14:textId="7C20BFB9" w:rsidR="007652FE" w:rsidRPr="007652FE" w:rsidRDefault="007652FE" w:rsidP="007652FE">
      <w:pPr>
        <w:pStyle w:val="ListParagraph"/>
        <w:spacing w:after="120"/>
        <w:ind w:left="446" w:firstLine="0"/>
        <w:contextualSpacing w:val="0"/>
        <w:jc w:val="left"/>
        <w:rPr>
          <w:rStyle w:val="SubtitleChar"/>
          <w:rFonts w:eastAsiaTheme="minorHAnsi" w:cstheme="minorBidi"/>
          <w:iCs w:val="0"/>
          <w:color w:val="auto"/>
          <w:sz w:val="22"/>
          <w:szCs w:val="22"/>
          <w:lang w:bidi="ar-SA"/>
          <w14:ligatures w14:val="none"/>
        </w:rPr>
      </w:pPr>
      <w:r w:rsidRPr="0073181C">
        <w:rPr>
          <w:color w:val="auto"/>
        </w:rPr>
        <w:t>International Federation of Red Cross and Red Crescent Societies</w:t>
      </w:r>
      <w:r>
        <w:rPr>
          <w:color w:val="auto"/>
        </w:rPr>
        <w:t>, 2012</w:t>
      </w:r>
    </w:p>
    <w:p w14:paraId="6744AEB9" w14:textId="27F4C619" w:rsidR="00CC0CE8" w:rsidRDefault="00CC0CE8" w:rsidP="00CC0CE8">
      <w:pPr>
        <w:pStyle w:val="ListParagraph"/>
        <w:numPr>
          <w:ilvl w:val="0"/>
          <w:numId w:val="2"/>
        </w:numPr>
        <w:spacing w:after="120"/>
        <w:ind w:left="446"/>
        <w:contextualSpacing w:val="0"/>
        <w:jc w:val="left"/>
        <w:rPr>
          <w:color w:val="auto"/>
        </w:rPr>
      </w:pPr>
      <w:r w:rsidRPr="00CC0CE8">
        <w:rPr>
          <w:rStyle w:val="SubtitleChar"/>
          <w:sz w:val="24"/>
        </w:rPr>
        <w:t>Briefing Note 1a: Life-</w:t>
      </w:r>
      <w:r>
        <w:rPr>
          <w:rStyle w:val="SubtitleChar"/>
          <w:sz w:val="24"/>
        </w:rPr>
        <w:t>C</w:t>
      </w:r>
      <w:r w:rsidRPr="00CC0CE8">
        <w:rPr>
          <w:rStyle w:val="SubtitleChar"/>
          <w:sz w:val="24"/>
        </w:rPr>
        <w:t xml:space="preserve">ycle </w:t>
      </w:r>
      <w:r>
        <w:rPr>
          <w:rStyle w:val="SubtitleChar"/>
          <w:sz w:val="24"/>
        </w:rPr>
        <w:t>Costs A</w:t>
      </w:r>
      <w:r w:rsidRPr="00CC0CE8">
        <w:rPr>
          <w:rStyle w:val="SubtitleChar"/>
          <w:sz w:val="24"/>
        </w:rPr>
        <w:t>pproach</w:t>
      </w:r>
      <w:r>
        <w:rPr>
          <w:color w:val="auto"/>
        </w:rPr>
        <w:t xml:space="preserve">  </w:t>
      </w:r>
      <w:r>
        <w:rPr>
          <w:color w:val="auto"/>
        </w:rPr>
        <w:br/>
        <w:t>IRC International Water and Sanitation Centre, 2011</w:t>
      </w:r>
    </w:p>
    <w:p w14:paraId="5BF25ECA" w14:textId="77777777" w:rsidR="00821B73" w:rsidRPr="007F7D13" w:rsidRDefault="00821B73" w:rsidP="00821B73">
      <w:pPr>
        <w:pStyle w:val="ListParagraph"/>
        <w:numPr>
          <w:ilvl w:val="0"/>
          <w:numId w:val="2"/>
        </w:numPr>
        <w:spacing w:after="120"/>
        <w:ind w:left="446"/>
        <w:contextualSpacing w:val="0"/>
        <w:jc w:val="left"/>
        <w:rPr>
          <w:rStyle w:val="SubtitleChar"/>
          <w:sz w:val="28"/>
          <w:szCs w:val="28"/>
        </w:rPr>
      </w:pPr>
      <w:bookmarkStart w:id="4" w:name="_Toc275448362"/>
      <w:r w:rsidRPr="0073181C">
        <w:rPr>
          <w:rStyle w:val="SubtitleChar"/>
          <w:sz w:val="24"/>
        </w:rPr>
        <w:t>Literature Review: The Effectiveness and Sustainability of Rural Water Supply Systems in Development Contexts</w:t>
      </w:r>
      <w:bookmarkEnd w:id="4"/>
      <w:r w:rsidRPr="0073181C">
        <w:rPr>
          <w:rStyle w:val="SubtitleChar"/>
          <w:sz w:val="24"/>
        </w:rPr>
        <w:br/>
      </w:r>
      <w:r w:rsidRPr="00B062F1">
        <w:rPr>
          <w:iCs/>
          <w:color w:val="auto"/>
        </w:rPr>
        <w:t>Norwegian</w:t>
      </w:r>
      <w:r w:rsidRPr="00B062F1">
        <w:rPr>
          <w:rStyle w:val="SubtitleChar"/>
          <w:color w:val="auto"/>
          <w:sz w:val="22"/>
          <w:szCs w:val="22"/>
        </w:rPr>
        <w:t xml:space="preserve"> </w:t>
      </w:r>
      <w:r w:rsidRPr="0073181C">
        <w:rPr>
          <w:rStyle w:val="SubtitleChar"/>
          <w:color w:val="auto"/>
          <w:sz w:val="22"/>
          <w:szCs w:val="22"/>
        </w:rPr>
        <w:t>Red Cross Society</w:t>
      </w:r>
      <w:r>
        <w:rPr>
          <w:rStyle w:val="SubtitleChar"/>
          <w:color w:val="auto"/>
          <w:sz w:val="22"/>
          <w:szCs w:val="22"/>
        </w:rPr>
        <w:t>, 2014</w:t>
      </w:r>
    </w:p>
    <w:p w14:paraId="7C2B5720" w14:textId="77777777" w:rsidR="00821B73" w:rsidRPr="00E56569" w:rsidRDefault="00821B73" w:rsidP="004E2132">
      <w:pPr>
        <w:pStyle w:val="ListParagraph"/>
        <w:numPr>
          <w:ilvl w:val="0"/>
          <w:numId w:val="2"/>
        </w:numPr>
        <w:spacing w:after="0"/>
        <w:ind w:left="446"/>
        <w:contextualSpacing w:val="0"/>
        <w:jc w:val="left"/>
        <w:rPr>
          <w:rStyle w:val="SubtitleChar"/>
          <w:sz w:val="24"/>
        </w:rPr>
      </w:pPr>
      <w:r w:rsidRPr="00E56569">
        <w:rPr>
          <w:rStyle w:val="SubtitleChar"/>
          <w:sz w:val="24"/>
        </w:rPr>
        <w:t>Determinants of Service Sustainability:</w:t>
      </w:r>
      <w:r w:rsidRPr="00E56569">
        <w:rPr>
          <w:rStyle w:val="SubtitleChar"/>
          <w:sz w:val="24"/>
        </w:rPr>
        <w:br/>
        <w:t>Small Piped Water Schemes in Rural Rwanda</w:t>
      </w:r>
    </w:p>
    <w:p w14:paraId="596525F7" w14:textId="711E2F16" w:rsidR="00055460" w:rsidRPr="004A5B06" w:rsidRDefault="00821B73" w:rsidP="004A5B06">
      <w:pPr>
        <w:pStyle w:val="ListParagraph"/>
        <w:ind w:left="440" w:firstLine="0"/>
        <w:jc w:val="left"/>
        <w:rPr>
          <w:color w:val="auto"/>
          <w:lang w:val="en-GB"/>
        </w:rPr>
      </w:pPr>
      <w:r>
        <w:rPr>
          <w:color w:val="auto"/>
        </w:rPr>
        <w:t xml:space="preserve">Briefing Paper, </w:t>
      </w:r>
      <w:r w:rsidRPr="00DD24FD">
        <w:rPr>
          <w:color w:val="auto"/>
          <w:lang w:val="en-GB"/>
        </w:rPr>
        <w:t xml:space="preserve">38th WEDC International Conference, </w:t>
      </w:r>
      <w:r>
        <w:rPr>
          <w:color w:val="auto"/>
          <w:lang w:val="en-GB"/>
        </w:rPr>
        <w:t xml:space="preserve">Loughborough University, </w:t>
      </w:r>
      <w:r w:rsidRPr="00DD24FD">
        <w:rPr>
          <w:color w:val="auto"/>
          <w:lang w:val="en-GB"/>
        </w:rPr>
        <w:t>2015</w:t>
      </w:r>
    </w:p>
    <w:p w14:paraId="636124C9" w14:textId="77777777" w:rsidR="000100D5" w:rsidRPr="00CE5141" w:rsidRDefault="000100D5" w:rsidP="005C3194">
      <w:pPr>
        <w:sectPr w:rsidR="000100D5" w:rsidRPr="00CE5141" w:rsidSect="00055460">
          <w:type w:val="continuous"/>
          <w:pgSz w:w="11900" w:h="16840"/>
          <w:pgMar w:top="1440" w:right="1080" w:bottom="1440" w:left="1080" w:header="708" w:footer="708" w:gutter="0"/>
          <w:cols w:num="2" w:space="708"/>
          <w:docGrid w:linePitch="360"/>
        </w:sectPr>
      </w:pPr>
    </w:p>
    <w:p w14:paraId="1CBB4197" w14:textId="074FB582" w:rsidR="000100D5" w:rsidRPr="00CE5141" w:rsidRDefault="00817DA3" w:rsidP="00A971DC">
      <w:pPr>
        <w:pStyle w:val="Heading1"/>
        <w:pBdr>
          <w:bottom w:val="single" w:sz="4" w:space="1" w:color="auto"/>
        </w:pBdr>
        <w:spacing w:line="360" w:lineRule="auto"/>
      </w:pPr>
      <w:bookmarkStart w:id="5" w:name="_Toc420755104"/>
      <w:r>
        <w:lastRenderedPageBreak/>
        <w:t>Guiding</w:t>
      </w:r>
      <w:r w:rsidR="000100D5" w:rsidRPr="00CE5141">
        <w:t xml:space="preserve"> </w:t>
      </w:r>
      <w:r>
        <w:t>Framework</w:t>
      </w:r>
      <w:bookmarkEnd w:id="5"/>
    </w:p>
    <w:p w14:paraId="20CD0D03" w14:textId="3F143B88" w:rsidR="000100D5" w:rsidRDefault="000100D5" w:rsidP="005C3194"/>
    <w:p w14:paraId="34301836" w14:textId="77777777" w:rsidR="001D0FE3" w:rsidRDefault="001D0FE3" w:rsidP="005C3194">
      <w:pPr>
        <w:sectPr w:rsidR="001D0FE3" w:rsidSect="000100D5">
          <w:pgSz w:w="11900" w:h="16840"/>
          <w:pgMar w:top="1440" w:right="1080" w:bottom="1440" w:left="1080" w:header="708" w:footer="708" w:gutter="0"/>
          <w:cols w:space="708"/>
          <w:docGrid w:linePitch="360"/>
        </w:sectPr>
      </w:pPr>
    </w:p>
    <w:p w14:paraId="2E2FB1BB" w14:textId="42A7A34A" w:rsidR="008A6E5E" w:rsidRDefault="001D0FE3" w:rsidP="001D0FE3">
      <w:pPr>
        <w:pStyle w:val="Heading2"/>
      </w:pPr>
      <w:bookmarkStart w:id="6" w:name="_Toc420755105"/>
      <w:r>
        <w:lastRenderedPageBreak/>
        <w:t>Goals</w:t>
      </w:r>
      <w:bookmarkEnd w:id="6"/>
    </w:p>
    <w:p w14:paraId="60709D81" w14:textId="1763E1A6" w:rsidR="00B910B3" w:rsidRDefault="0045393F" w:rsidP="005C3194">
      <w:r>
        <w:t>I</w:t>
      </w:r>
      <w:r w:rsidR="00AF6924">
        <w:t>n essence</w:t>
      </w:r>
      <w:r w:rsidR="00AE7849">
        <w:t xml:space="preserve"> all water</w:t>
      </w:r>
      <w:r>
        <w:t xml:space="preserve"> supply programs are</w:t>
      </w:r>
      <w:r w:rsidR="00AF6924">
        <w:t xml:space="preserve"> seeking to achieve the same aim: that the target community receives access to a supply of safe water and that this </w:t>
      </w:r>
      <w:r w:rsidR="00B910B3">
        <w:t>access</w:t>
      </w:r>
      <w:r w:rsidR="00AF6924">
        <w:t xml:space="preserve"> is </w:t>
      </w:r>
      <w:r w:rsidR="00B910B3">
        <w:t>sustained</w:t>
      </w:r>
      <w:r w:rsidR="00AF6924">
        <w:t xml:space="preserve"> over time. </w:t>
      </w:r>
    </w:p>
    <w:p w14:paraId="3BF6039A" w14:textId="462825E5" w:rsidR="001D0FE3" w:rsidRDefault="00AF6924" w:rsidP="005C3194">
      <w:r>
        <w:t>This aim has been adapted into a goal statement, but with a critical change – the emphasis is on sustaining measurable service levels over time.</w:t>
      </w:r>
      <w:r w:rsidR="00B910B3">
        <w:t xml:space="preserve"> </w:t>
      </w:r>
      <w:r w:rsidR="00A91275">
        <w:t xml:space="preserve">These service levels include functionality but also </w:t>
      </w:r>
      <w:r w:rsidR="00DE7AED">
        <w:t>capture</w:t>
      </w:r>
      <w:r w:rsidR="00A91275">
        <w:t xml:space="preserve"> broader aspects </w:t>
      </w:r>
      <w:r w:rsidR="00A91275">
        <w:lastRenderedPageBreak/>
        <w:t>of service quality that can influence whether a community is prepared to pay for a service</w:t>
      </w:r>
      <w:r w:rsidR="0045393F">
        <w:t xml:space="preserve"> (whether through levies or tariffs)</w:t>
      </w:r>
      <w:r w:rsidR="00A91275">
        <w:t>.</w:t>
      </w:r>
    </w:p>
    <w:p w14:paraId="10930CBF" w14:textId="7E50B197" w:rsidR="008A6E5E" w:rsidRDefault="00A91275" w:rsidP="005C3194">
      <w:r>
        <w:t xml:space="preserve">A second goal is also proposed: that service levels will </w:t>
      </w:r>
      <w:r>
        <w:rPr>
          <w:i/>
        </w:rPr>
        <w:t>improve</w:t>
      </w:r>
      <w:r>
        <w:t xml:space="preserve"> over time. This ideal goal looks beyond the initial investment to longer term </w:t>
      </w:r>
      <w:r w:rsidR="00642657">
        <w:t xml:space="preserve">system </w:t>
      </w:r>
      <w:r>
        <w:t xml:space="preserve">upgrades </w:t>
      </w:r>
      <w:r w:rsidR="00642657">
        <w:t xml:space="preserve">(such as </w:t>
      </w:r>
      <w:r w:rsidR="0045393F">
        <w:t>household connections to piped water</w:t>
      </w:r>
      <w:r w:rsidR="00642657">
        <w:t xml:space="preserve">) </w:t>
      </w:r>
      <w:r>
        <w:t xml:space="preserve">and </w:t>
      </w:r>
      <w:r w:rsidR="00642657">
        <w:t>improvements in the capacity of service providers (such as responsiveness to breakdowns).</w:t>
      </w:r>
    </w:p>
    <w:p w14:paraId="720EB2C2" w14:textId="77777777" w:rsidR="001D0FE3" w:rsidRDefault="001D0FE3" w:rsidP="005C3194">
      <w:pPr>
        <w:sectPr w:rsidR="001D0FE3" w:rsidSect="001D0FE3">
          <w:type w:val="continuous"/>
          <w:pgSz w:w="11900" w:h="16840"/>
          <w:pgMar w:top="1440" w:right="1080" w:bottom="1440" w:left="1080" w:header="708" w:footer="708" w:gutter="0"/>
          <w:cols w:num="2" w:space="708"/>
          <w:docGrid w:linePitch="360"/>
        </w:sectPr>
      </w:pPr>
    </w:p>
    <w:p w14:paraId="286710D1" w14:textId="72C7B397" w:rsidR="004701A1" w:rsidRDefault="004701A1" w:rsidP="005C3194"/>
    <w:p w14:paraId="6BC5F0D4" w14:textId="77777777" w:rsidR="001D0FE3" w:rsidRDefault="001D0FE3" w:rsidP="005C3194">
      <w:pPr>
        <w:sectPr w:rsidR="001D0FE3" w:rsidSect="001D0FE3">
          <w:type w:val="continuous"/>
          <w:pgSz w:w="11900" w:h="16840"/>
          <w:pgMar w:top="1440" w:right="1080" w:bottom="1440" w:left="1080" w:header="708" w:footer="708" w:gutter="0"/>
          <w:cols w:space="708"/>
          <w:docGrid w:linePitch="360"/>
        </w:sectPr>
      </w:pPr>
    </w:p>
    <w:p w14:paraId="14FCF446" w14:textId="33394603" w:rsidR="004701A1" w:rsidRDefault="006F7BFD" w:rsidP="005C3194">
      <w:r>
        <w:lastRenderedPageBreak/>
        <w:t xml:space="preserve"> </w:t>
      </w:r>
      <w:r>
        <w:tab/>
      </w:r>
      <w:r>
        <w:tab/>
      </w:r>
      <w:r>
        <w:tab/>
      </w:r>
      <w:r>
        <w:rPr>
          <w:noProof/>
          <w:lang w:val="en-GB" w:eastAsia="en-GB"/>
        </w:rPr>
        <mc:AlternateContent>
          <mc:Choice Requires="wps">
            <w:drawing>
              <wp:inline distT="0" distB="0" distL="0" distR="0" wp14:anchorId="109AE05B" wp14:editId="209DB064">
                <wp:extent cx="3479800" cy="1706880"/>
                <wp:effectExtent l="19050" t="19050" r="25400" b="22225"/>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179"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540E2CC" w14:textId="77777777" w:rsidR="007A5A6D" w:rsidRDefault="007A5A6D" w:rsidP="006F7BFD">
                            <w:pPr>
                              <w:spacing w:after="0"/>
                              <w:jc w:val="center"/>
                              <w:rPr>
                                <w:i/>
                                <w:iCs/>
                                <w:color w:val="7F7F7F" w:themeColor="text1" w:themeTint="80"/>
                                <w:sz w:val="24"/>
                              </w:rPr>
                            </w:pPr>
                            <w:r>
                              <w:rPr>
                                <w:i/>
                                <w:iCs/>
                                <w:color w:val="7F7F7F" w:themeColor="text1" w:themeTint="80"/>
                                <w:sz w:val="24"/>
                              </w:rPr>
                              <w:t>Goal: A basic level of service is maintained over time</w:t>
                            </w:r>
                          </w:p>
                          <w:p w14:paraId="35498B7E" w14:textId="77777777" w:rsidR="007A5A6D" w:rsidRDefault="007A5A6D" w:rsidP="006F7BFD">
                            <w:pPr>
                              <w:spacing w:after="0"/>
                              <w:jc w:val="center"/>
                              <w:rPr>
                                <w:i/>
                                <w:iCs/>
                                <w:color w:val="7F7F7F" w:themeColor="text1" w:themeTint="80"/>
                                <w:sz w:val="24"/>
                              </w:rPr>
                            </w:pPr>
                          </w:p>
                          <w:p w14:paraId="61794361" w14:textId="77777777" w:rsidR="007A5A6D" w:rsidRDefault="007A5A6D" w:rsidP="006F7BFD">
                            <w:pPr>
                              <w:spacing w:after="0"/>
                              <w:jc w:val="center"/>
                              <w:rPr>
                                <w:i/>
                                <w:iCs/>
                                <w:color w:val="7F7F7F" w:themeColor="text1" w:themeTint="80"/>
                                <w:sz w:val="24"/>
                              </w:rPr>
                            </w:pPr>
                            <w:r>
                              <w:rPr>
                                <w:i/>
                                <w:iCs/>
                                <w:color w:val="7F7F7F" w:themeColor="text1" w:themeTint="80"/>
                                <w:sz w:val="24"/>
                              </w:rPr>
                              <w:t>Ideal Goal: Service levels improve over time</w:t>
                            </w:r>
                          </w:p>
                        </w:txbxContent>
                      </wps:txbx>
                      <wps:bodyPr rot="0" vert="horz" wrap="square" lIns="45720" tIns="45720" rIns="45720" bIns="45720" anchor="ctr" anchorCtr="0" upright="1">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274pt;height:13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h7GAMAAJQ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" adj="1739" fillcolor="#943634" strokecolor="#9bbb59" strokeweight="3pt">
                <v:shadow color="#5d7035" offset="1pt,1pt"/>
                <v:textbox style="mso-fit-shape-to-text:t" inset="3.6pt,,3.6pt">
                  <w:txbxContent>
                    <w:p w14:paraId="5540E2CC" w14:textId="77777777" w:rsidR="007A5A6D" w:rsidRDefault="007A5A6D" w:rsidP="006F7BFD">
                      <w:pPr>
                        <w:spacing w:after="0"/>
                        <w:jc w:val="center"/>
                        <w:rPr>
                          <w:i/>
                          <w:iCs/>
                          <w:color w:val="7F7F7F" w:themeColor="text1" w:themeTint="80"/>
                          <w:sz w:val="24"/>
                        </w:rPr>
                      </w:pPr>
                      <w:r>
                        <w:rPr>
                          <w:i/>
                          <w:iCs/>
                          <w:color w:val="7F7F7F" w:themeColor="text1" w:themeTint="80"/>
                          <w:sz w:val="24"/>
                        </w:rPr>
                        <w:t>Goal: A basic level of service is maintained over time</w:t>
                      </w:r>
                    </w:p>
                    <w:p w14:paraId="35498B7E" w14:textId="77777777" w:rsidR="007A5A6D" w:rsidRDefault="007A5A6D" w:rsidP="006F7BFD">
                      <w:pPr>
                        <w:spacing w:after="0"/>
                        <w:jc w:val="center"/>
                        <w:rPr>
                          <w:i/>
                          <w:iCs/>
                          <w:color w:val="7F7F7F" w:themeColor="text1" w:themeTint="80"/>
                          <w:sz w:val="24"/>
                        </w:rPr>
                      </w:pPr>
                    </w:p>
                    <w:p w14:paraId="61794361" w14:textId="77777777" w:rsidR="007A5A6D" w:rsidRDefault="007A5A6D" w:rsidP="006F7BFD">
                      <w:pPr>
                        <w:spacing w:after="0"/>
                        <w:jc w:val="center"/>
                        <w:rPr>
                          <w:i/>
                          <w:iCs/>
                          <w:color w:val="7F7F7F" w:themeColor="text1" w:themeTint="80"/>
                          <w:sz w:val="24"/>
                        </w:rPr>
                      </w:pPr>
                      <w:r>
                        <w:rPr>
                          <w:i/>
                          <w:iCs/>
                          <w:color w:val="7F7F7F" w:themeColor="text1" w:themeTint="80"/>
                          <w:sz w:val="24"/>
                        </w:rPr>
                        <w:t>Ideal Goal: Service levels improve over time</w:t>
                      </w:r>
                    </w:p>
                  </w:txbxContent>
                </v:textbox>
                <w10:anchorlock/>
              </v:shape>
            </w:pict>
          </mc:Fallback>
        </mc:AlternateContent>
      </w:r>
    </w:p>
    <w:p w14:paraId="7AB9D00E" w14:textId="3E337A54" w:rsidR="00126A24" w:rsidRDefault="00126A24" w:rsidP="005C3194"/>
    <w:p w14:paraId="3EA6DD1E" w14:textId="77777777" w:rsidR="006F7BFD" w:rsidRDefault="006F7BFD" w:rsidP="005C3194">
      <w:pPr>
        <w:sectPr w:rsidR="006F7BFD" w:rsidSect="001D0FE3">
          <w:type w:val="continuous"/>
          <w:pgSz w:w="11900" w:h="16840"/>
          <w:pgMar w:top="1440" w:right="1080" w:bottom="1440" w:left="1080" w:header="708" w:footer="708" w:gutter="0"/>
          <w:cols w:space="708"/>
          <w:docGrid w:linePitch="360"/>
        </w:sectPr>
      </w:pPr>
    </w:p>
    <w:p w14:paraId="456FA6D1" w14:textId="227DABC8" w:rsidR="00126A24" w:rsidRDefault="006F7BFD" w:rsidP="006F7BFD">
      <w:pPr>
        <w:pStyle w:val="Heading2"/>
      </w:pPr>
      <w:bookmarkStart w:id="7" w:name="_Toc420755106"/>
      <w:r>
        <w:lastRenderedPageBreak/>
        <w:t>Conditions</w:t>
      </w:r>
      <w:bookmarkEnd w:id="7"/>
    </w:p>
    <w:p w14:paraId="675F71F8" w14:textId="3EEFBBA5" w:rsidR="00126A24" w:rsidRDefault="001646B3" w:rsidP="005C3194">
      <w:r>
        <w:t>What conditions need to be in place to ensure that these goals are successfully realised?</w:t>
      </w:r>
    </w:p>
    <w:p w14:paraId="53A43353" w14:textId="23B1C08F" w:rsidR="00126A24" w:rsidRDefault="00AB2F20" w:rsidP="005C3194">
      <w:r>
        <w:t xml:space="preserve">There are a number of drivers behind a services’ sustainability.  These drivers include the local government’s technical capacity and financial support for the rural water sector, the service provider’s ability to recover costs and </w:t>
      </w:r>
      <w:r w:rsidR="00F044B9">
        <w:t>repair breakdowns, the system’s technical suitability and the community’s ongoing satisfaction with the system’s design and the service’s performance.</w:t>
      </w:r>
    </w:p>
    <w:p w14:paraId="5D51D722" w14:textId="50B91EB3" w:rsidR="00126A24" w:rsidRDefault="00F044B9" w:rsidP="005C3194">
      <w:r>
        <w:t xml:space="preserve">A 2014 study into the factors underlying the sustainability of </w:t>
      </w:r>
      <w:r w:rsidRPr="00CE5141">
        <w:rPr>
          <w:bCs/>
        </w:rPr>
        <w:t>rural water supply services in Rwanda</w:t>
      </w:r>
      <w:r>
        <w:rPr>
          <w:bCs/>
        </w:rPr>
        <w:t xml:space="preserve"> indicates that </w:t>
      </w:r>
      <w:r w:rsidR="0013557F">
        <w:rPr>
          <w:bCs/>
        </w:rPr>
        <w:t>five</w:t>
      </w:r>
      <w:r>
        <w:rPr>
          <w:bCs/>
        </w:rPr>
        <w:t xml:space="preserve"> key conditions need to be met</w:t>
      </w:r>
      <w:r>
        <w:t>:</w:t>
      </w:r>
    </w:p>
    <w:p w14:paraId="693D5C61" w14:textId="5A0D7D39" w:rsidR="000100D5" w:rsidRPr="007D76BD" w:rsidRDefault="00F044B9" w:rsidP="005C3194">
      <w:r>
        <w:rPr>
          <w:b/>
          <w:color w:val="C00000" w:themeColor="accent6"/>
        </w:rPr>
        <w:t xml:space="preserve">Basic levels of service are </w:t>
      </w:r>
      <w:r w:rsidR="007D76BD">
        <w:rPr>
          <w:b/>
          <w:color w:val="C00000" w:themeColor="accent6"/>
        </w:rPr>
        <w:t xml:space="preserve">in place. </w:t>
      </w:r>
      <w:r w:rsidR="007D76BD" w:rsidRPr="007D76BD">
        <w:t xml:space="preserve">The </w:t>
      </w:r>
      <w:r w:rsidR="007D76BD">
        <w:t>d</w:t>
      </w:r>
      <w:r w:rsidR="007D76BD" w:rsidRPr="007D76BD">
        <w:t>efinition of</w:t>
      </w:r>
      <w:r w:rsidR="007D76BD" w:rsidRPr="007D76BD">
        <w:rPr>
          <w:b/>
        </w:rPr>
        <w:t xml:space="preserve"> </w:t>
      </w:r>
      <w:r w:rsidR="007D76BD">
        <w:t xml:space="preserve">measurable service levels serves two functions. Firstly, they allow a basis for </w:t>
      </w:r>
      <w:r w:rsidR="007D76BD">
        <w:lastRenderedPageBreak/>
        <w:t>clarifying expectations, tracking performance and establishing accountability. Secondly, they assist monitoring agencies to understand why a community may choose not to pay for a service, sending warning signals on the service’s long term financial viability.</w:t>
      </w:r>
    </w:p>
    <w:p w14:paraId="0BAEFBBC" w14:textId="0D918B85" w:rsidR="00F044B9" w:rsidRPr="007D76BD" w:rsidRDefault="00F044B9" w:rsidP="005C3194">
      <w:r>
        <w:rPr>
          <w:b/>
          <w:color w:val="C00000" w:themeColor="accent6"/>
        </w:rPr>
        <w:t>A support</w:t>
      </w:r>
      <w:r w:rsidR="007D76BD">
        <w:rPr>
          <w:b/>
          <w:color w:val="C00000" w:themeColor="accent6"/>
        </w:rPr>
        <w:t xml:space="preserve">ive enabling environment exists. </w:t>
      </w:r>
      <w:r w:rsidR="007D76BD">
        <w:t xml:space="preserve">The context within which services are delivered is important. </w:t>
      </w:r>
      <w:r w:rsidR="00FE762E">
        <w:t>The</w:t>
      </w:r>
      <w:r w:rsidR="007D76BD">
        <w:t xml:space="preserve"> </w:t>
      </w:r>
      <w:r w:rsidR="00FE762E">
        <w:t>financial and political decisions made by government agencies can have a significant influence</w:t>
      </w:r>
      <w:r w:rsidR="008C2C14">
        <w:t xml:space="preserve"> on</w:t>
      </w:r>
      <w:r w:rsidR="00FE762E">
        <w:t xml:space="preserve"> the water supply sector through, for example, prioritising public investment in the rural water sector</w:t>
      </w:r>
      <w:r w:rsidR="00896145">
        <w:t xml:space="preserve"> and</w:t>
      </w:r>
      <w:r w:rsidR="00FE762E">
        <w:t xml:space="preserve"> regulating tariffs and levies.</w:t>
      </w:r>
    </w:p>
    <w:p w14:paraId="7568D11D" w14:textId="11F519FB" w:rsidR="00704DC7" w:rsidRPr="00704DC7" w:rsidRDefault="00704DC7" w:rsidP="005C3194">
      <w:pPr>
        <w:rPr>
          <w:b/>
        </w:rPr>
      </w:pPr>
      <w:r>
        <w:rPr>
          <w:b/>
          <w:color w:val="C00000" w:themeColor="accent6"/>
        </w:rPr>
        <w:t xml:space="preserve">A plan for cost recovery is in place. </w:t>
      </w:r>
      <w:r w:rsidR="002A5D2F">
        <w:t xml:space="preserve">An ongoing source of finance for water supply services is necessary for sustainability. Cost recovery plans are needed that </w:t>
      </w:r>
      <w:r w:rsidR="002A5D2F">
        <w:rPr>
          <w:lang w:val="en-US"/>
        </w:rPr>
        <w:t xml:space="preserve">clearly define the costs that will be covered by a Red Cross </w:t>
      </w:r>
      <w:r w:rsidR="002A5D2F">
        <w:rPr>
          <w:lang w:val="en-US"/>
        </w:rPr>
        <w:lastRenderedPageBreak/>
        <w:t>Society, the costs that are expected to be covered by a service provider and any costs that are expected to be covered by the local government.</w:t>
      </w:r>
    </w:p>
    <w:p w14:paraId="5DA72E38" w14:textId="02F271BA" w:rsidR="008B558F" w:rsidRPr="002A5D2F" w:rsidRDefault="00F044B9" w:rsidP="005C3194">
      <w:r>
        <w:rPr>
          <w:b/>
          <w:color w:val="C00000" w:themeColor="accent6"/>
        </w:rPr>
        <w:t>A technically ap</w:t>
      </w:r>
      <w:r w:rsidR="00FE762E">
        <w:rPr>
          <w:b/>
          <w:color w:val="C00000" w:themeColor="accent6"/>
        </w:rPr>
        <w:t xml:space="preserve">propriate system has been built. </w:t>
      </w:r>
      <w:r w:rsidR="008B558F">
        <w:t>The importance</w:t>
      </w:r>
      <w:r w:rsidR="00FE762E">
        <w:t xml:space="preserve"> of a technically appropriate design for a water supply system has not changed over time. Designs need to incorporate a range of factors, including the present and future pop</w:t>
      </w:r>
      <w:r w:rsidR="008B558F">
        <w:t>ulation size, energy sources fo</w:t>
      </w:r>
      <w:r w:rsidR="00FE762E">
        <w:t>r conveying water and the local market for spa</w:t>
      </w:r>
      <w:r w:rsidR="008C2C14">
        <w:t>r</w:t>
      </w:r>
      <w:r w:rsidR="00FE762E">
        <w:t>e parts, in order to ensure basic service levels are maintained over time.</w:t>
      </w:r>
    </w:p>
    <w:p w14:paraId="3F64F940" w14:textId="1FBAD5C2" w:rsidR="008B558F" w:rsidRDefault="00F044B9" w:rsidP="005C3194">
      <w:r>
        <w:rPr>
          <w:b/>
          <w:color w:val="C00000" w:themeColor="accent6"/>
        </w:rPr>
        <w:lastRenderedPageBreak/>
        <w:t xml:space="preserve">The service provider possesses sufficient capacity to maintain </w:t>
      </w:r>
      <w:r w:rsidR="00FE762E">
        <w:rPr>
          <w:b/>
          <w:color w:val="C00000" w:themeColor="accent6"/>
        </w:rPr>
        <w:t xml:space="preserve">a basic level of service. </w:t>
      </w:r>
      <w:r w:rsidR="008B558F">
        <w:t>The agency responsible for managing the service must have the required skills to operate and maintain the system, to collect and manage revenues and to plan for long term repairs, extensions and upgrades. The agency must be responsive to customer complaints and should be monitored for compliance with regulations and performance standards.</w:t>
      </w:r>
    </w:p>
    <w:p w14:paraId="356BEA2F" w14:textId="34898702" w:rsidR="000A56A0" w:rsidRPr="00CE5141" w:rsidRDefault="00704DC7" w:rsidP="005C3194">
      <w:r>
        <w:rPr>
          <w:noProof/>
          <w:lang w:val="en-GB" w:eastAsia="en-GB"/>
        </w:rPr>
        <mc:AlternateContent>
          <mc:Choice Requires="wpg">
            <w:drawing>
              <wp:anchor distT="0" distB="0" distL="114300" distR="114300" simplePos="0" relativeHeight="251669504" behindDoc="0" locked="0" layoutInCell="1" allowOverlap="1" wp14:anchorId="1B0D24AF" wp14:editId="68B4A69D">
                <wp:simplePos x="0" y="0"/>
                <wp:positionH relativeFrom="column">
                  <wp:posOffset>-2292993</wp:posOffset>
                </wp:positionH>
                <wp:positionV relativeFrom="paragraph">
                  <wp:posOffset>787920</wp:posOffset>
                </wp:positionV>
                <wp:extent cx="4102100" cy="4084839"/>
                <wp:effectExtent l="76200" t="57150" r="88900" b="106680"/>
                <wp:wrapNone/>
                <wp:docPr id="11" name="Group 11"/>
                <wp:cNvGraphicFramePr/>
                <a:graphic xmlns:a="http://schemas.openxmlformats.org/drawingml/2006/main">
                  <a:graphicData uri="http://schemas.microsoft.com/office/word/2010/wordprocessingGroup">
                    <wpg:wgp>
                      <wpg:cNvGrpSpPr/>
                      <wpg:grpSpPr>
                        <a:xfrm>
                          <a:off x="0" y="0"/>
                          <a:ext cx="4102100" cy="4084839"/>
                          <a:chOff x="0" y="0"/>
                          <a:chExt cx="4102100" cy="4084839"/>
                        </a:xfrm>
                      </wpg:grpSpPr>
                      <wpg:grpSp>
                        <wpg:cNvPr id="1" name="Group 1"/>
                        <wpg:cNvGrpSpPr/>
                        <wpg:grpSpPr>
                          <a:xfrm>
                            <a:off x="0" y="0"/>
                            <a:ext cx="4102100" cy="1175385"/>
                            <a:chOff x="0" y="0"/>
                            <a:chExt cx="4102597" cy="1175929"/>
                          </a:xfrm>
                        </wpg:grpSpPr>
                        <wps:wsp>
                          <wps:cNvPr id="307" name="Text Box 2"/>
                          <wps:cNvSpPr txBox="1">
                            <a:spLocks noChangeArrowheads="1"/>
                          </wps:cNvSpPr>
                          <wps:spPr bwMode="auto">
                            <a:xfrm>
                              <a:off x="0" y="0"/>
                              <a:ext cx="1786909" cy="1164053"/>
                            </a:xfrm>
                            <a:prstGeom prst="flowChartAlternateProcess">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0BA1ABB6" w14:textId="5E4B9C8D" w:rsidR="007A5A6D" w:rsidRPr="00126A24" w:rsidRDefault="007A5A6D" w:rsidP="00126A24">
                                <w:pPr>
                                  <w:jc w:val="center"/>
                                  <w:rPr>
                                    <w:b/>
                                  </w:rPr>
                                </w:pPr>
                                <w:r w:rsidRPr="00126A24">
                                  <w:rPr>
                                    <w:rFonts w:cs="Helvetica"/>
                                    <w:b/>
                                    <w:lang w:val="en-GB"/>
                                  </w:rPr>
                                  <w:t xml:space="preserve">Basic levels of service are </w:t>
                                </w:r>
                                <w:r w:rsidRPr="00126A24">
                                  <w:rPr>
                                    <w:rFonts w:cs="Helvetica"/>
                                    <w:b/>
                                    <w:sz w:val="24"/>
                                    <w:szCs w:val="24"/>
                                    <w:lang w:val="en-GB"/>
                                  </w:rPr>
                                  <w:t>in place</w:t>
                                </w:r>
                              </w:p>
                            </w:txbxContent>
                          </wps:txbx>
                          <wps:bodyPr rot="0" vert="horz" wrap="square" lIns="91440" tIns="45720" rIns="91440" bIns="45720" anchor="ctr" anchorCtr="0">
                            <a:noAutofit/>
                          </wps:bodyPr>
                        </wps:wsp>
                        <wps:wsp>
                          <wps:cNvPr id="3" name="Text Box 2"/>
                          <wps:cNvSpPr txBox="1">
                            <a:spLocks noChangeArrowheads="1"/>
                          </wps:cNvSpPr>
                          <wps:spPr bwMode="auto">
                            <a:xfrm>
                              <a:off x="2315688" y="11876"/>
                              <a:ext cx="1786909" cy="1164053"/>
                            </a:xfrm>
                            <a:prstGeom prst="round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6C17C6C4" w14:textId="29E55DB3" w:rsidR="007A5A6D" w:rsidRPr="00126A24" w:rsidRDefault="007A5A6D" w:rsidP="00126A24">
                                <w:pPr>
                                  <w:jc w:val="center"/>
                                  <w:rPr>
                                    <w:b/>
                                  </w:rPr>
                                </w:pPr>
                                <w:r w:rsidRPr="00126A24">
                                  <w:rPr>
                                    <w:rFonts w:cs="Helvetica"/>
                                    <w:b/>
                                    <w:lang w:val="en-GB"/>
                                  </w:rPr>
                                  <w:t xml:space="preserve">A supportive enabling </w:t>
                                </w:r>
                                <w:r w:rsidRPr="00126A24">
                                  <w:rPr>
                                    <w:rFonts w:cs="Helvetica"/>
                                    <w:b/>
                                    <w:sz w:val="24"/>
                                    <w:szCs w:val="24"/>
                                    <w:lang w:val="en-GB"/>
                                  </w:rPr>
                                  <w:t>environment exists</w:t>
                                </w:r>
                              </w:p>
                            </w:txbxContent>
                          </wps:txbx>
                          <wps:bodyPr rot="0" vert="horz" wrap="square" lIns="91440" tIns="45720" rIns="91440" bIns="45720" anchor="ctr" anchorCtr="0">
                            <a:noAutofit/>
                          </wps:bodyPr>
                        </wps:wsp>
                      </wpg:grpSp>
                      <wpg:grpSp>
                        <wpg:cNvPr id="9" name="Group 9"/>
                        <wpg:cNvGrpSpPr/>
                        <wpg:grpSpPr>
                          <a:xfrm>
                            <a:off x="0" y="2909454"/>
                            <a:ext cx="4102100" cy="1175385"/>
                            <a:chOff x="0" y="0"/>
                            <a:chExt cx="4102597" cy="1175929"/>
                          </a:xfrm>
                        </wpg:grpSpPr>
                        <wps:wsp>
                          <wps:cNvPr id="4" name="Text Box 2"/>
                          <wps:cNvSpPr txBox="1">
                            <a:spLocks noChangeArrowheads="1"/>
                          </wps:cNvSpPr>
                          <wps:spPr bwMode="auto">
                            <a:xfrm>
                              <a:off x="0" y="0"/>
                              <a:ext cx="1786909" cy="1164053"/>
                            </a:xfrm>
                            <a:prstGeom prst="round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31990218" w14:textId="5EAB1773" w:rsidR="007A5A6D" w:rsidRPr="00126A24" w:rsidRDefault="007A5A6D" w:rsidP="00126A24">
                                <w:pPr>
                                  <w:jc w:val="center"/>
                                  <w:rPr>
                                    <w:b/>
                                  </w:rPr>
                                </w:pPr>
                                <w:r w:rsidRPr="00126A24">
                                  <w:rPr>
                                    <w:rFonts w:cs="Helvetica"/>
                                    <w:b/>
                                    <w:lang w:val="en-GB"/>
                                  </w:rPr>
                                  <w:t xml:space="preserve">A technically appropriate system has been built that </w:t>
                                </w:r>
                                <w:r w:rsidRPr="00126A24">
                                  <w:rPr>
                                    <w:rFonts w:cs="Helvetica"/>
                                    <w:b/>
                                    <w:sz w:val="24"/>
                                    <w:szCs w:val="24"/>
                                    <w:lang w:val="en-GB"/>
                                  </w:rPr>
                                  <w:t>ca</w:t>
                                </w:r>
                                <w:r>
                                  <w:rPr>
                                    <w:rFonts w:cs="Helvetica"/>
                                    <w:b/>
                                    <w:lang w:val="en-GB"/>
                                  </w:rPr>
                                  <w:t>n service population growth</w:t>
                                </w:r>
                              </w:p>
                            </w:txbxContent>
                          </wps:txbx>
                          <wps:bodyPr rot="0" vert="horz" wrap="square" lIns="91440" tIns="45720" rIns="91440" bIns="45720" anchor="ctr" anchorCtr="0">
                            <a:noAutofit/>
                          </wps:bodyPr>
                        </wps:wsp>
                        <wps:wsp>
                          <wps:cNvPr id="7" name="Text Box 2"/>
                          <wps:cNvSpPr txBox="1">
                            <a:spLocks noChangeArrowheads="1"/>
                          </wps:cNvSpPr>
                          <wps:spPr bwMode="auto">
                            <a:xfrm>
                              <a:off x="2315688" y="11876"/>
                              <a:ext cx="1786909" cy="1164053"/>
                            </a:xfrm>
                            <a:prstGeom prst="flowChartAlternateProcess">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3CA8404F" w14:textId="025E78FE" w:rsidR="007A5A6D" w:rsidRPr="00126A24" w:rsidRDefault="007A5A6D" w:rsidP="00126A24">
                                <w:pPr>
                                  <w:jc w:val="center"/>
                                  <w:rPr>
                                    <w:b/>
                                  </w:rPr>
                                </w:pPr>
                                <w:r w:rsidRPr="00126A24">
                                  <w:rPr>
                                    <w:rFonts w:cs="Helvetica"/>
                                    <w:b/>
                                    <w:lang w:val="en-GB"/>
                                  </w:rPr>
                                  <w:t>The service provider possesses sufficient capacity to ma</w:t>
                                </w:r>
                                <w:r>
                                  <w:rPr>
                                    <w:rFonts w:cs="Helvetica"/>
                                    <w:b/>
                                    <w:lang w:val="en-GB"/>
                                  </w:rPr>
                                  <w:t>intain a basic level of service</w:t>
                                </w:r>
                              </w:p>
                            </w:txbxContent>
                          </wps:txbx>
                          <wps:bodyPr rot="0" vert="horz" wrap="square" lIns="91440" tIns="45720" rIns="91440" bIns="45720" anchor="ctr" anchorCtr="0">
                            <a:noAutofit/>
                          </wps:bodyPr>
                        </wps:wsp>
                      </wpg:grpSp>
                      <wps:wsp>
                        <wps:cNvPr id="10" name="Rounded Rectangle 10"/>
                        <wps:cNvSpPr/>
                        <wps:spPr>
                          <a:xfrm>
                            <a:off x="1140031" y="1448789"/>
                            <a:ext cx="1786693" cy="1175385"/>
                          </a:xfrm>
                          <a:prstGeom prst="roundRect">
                            <a:avLst/>
                          </a:prstGeom>
                        </wps:spPr>
                        <wps:style>
                          <a:lnRef idx="1">
                            <a:schemeClr val="accent3"/>
                          </a:lnRef>
                          <a:fillRef idx="3">
                            <a:schemeClr val="accent3"/>
                          </a:fillRef>
                          <a:effectRef idx="2">
                            <a:schemeClr val="accent3"/>
                          </a:effectRef>
                          <a:fontRef idx="minor">
                            <a:schemeClr val="lt1"/>
                          </a:fontRef>
                        </wps:style>
                        <wps:txbx>
                          <w:txbxContent>
                            <w:p w14:paraId="695218D3" w14:textId="4A919471" w:rsidR="007A5A6D" w:rsidRPr="00704DC7" w:rsidRDefault="007A5A6D" w:rsidP="00704DC7">
                              <w:pPr>
                                <w:jc w:val="center"/>
                                <w:rPr>
                                  <w:b/>
                                </w:rPr>
                              </w:pPr>
                              <w:r w:rsidRPr="00704DC7">
                                <w:rPr>
                                  <w:b/>
                                </w:rPr>
                                <w:t>A plan for cost recovery is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7" style="position:absolute;left:0;text-align:left;margin-left:-180.55pt;margin-top:62.05pt;width:323pt;height:321.65pt;z-index:251669504;mso-position-horizontal-relative:text;mso-position-vertical-relative:text" coordsize="41021,4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">
                <v:group id="Group 1" o:spid="_x0000_s1028" style="position:absolute;width:41021;height:11753" coordsize="41025,1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9" type="#_x0000_t176" style="position:absolute;width:17869;height:1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Ls8cA&#10;AADcAAAADwAAAGRycy9kb3ducmV2LnhtbESPS2vDMBCE74X8B7GBXkIi121eruVQUgqF9JLHIcfF&#10;2tim0sq11MT591Gg0OMwM98w+aq3Rpyp841jBU+TBARx6XTDlYLD/mO8AOEDskbjmBRcycOqGDzk&#10;mGl34S2dd6ESEcI+QwV1CG0mpS9rsugnriWO3sl1FkOUXSV1h5cIt0amSTKTFhuOCzW2tK6p/N79&#10;WgWjdEnb1PxM1+5rdDXT/rh5n70o9Tjs315BBOrDf/iv/akVPCdzuJ+JR0AW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y7PHAAAA3AAAAA8AAAAAAAAAAAAAAAAAmAIAAGRy&#10;cy9kb3ducmV2LnhtbFBLBQYAAAAABAAEAPUAAACMAwAAAAA=&#10;" fillcolor="#ffb400 [3207]" strokecolor="#f2aa00 [3047]" strokeweight="1pt">
                    <v:fill color2="#ffd980 [1623]" rotate="t" focusposition="1,1" focussize="-1,-1" colors="0 #ffbe00;45220f #ffca5b;1 #ffdeab" focus="100%" type="gradientRadial"/>
                    <v:shadow on="t" type="perspective" color="black" opacity="26214f" origin=",.5" offset="0" matrix="66191f,,,66191f"/>
                    <v:textbox>
                      <w:txbxContent>
                        <w:p w14:paraId="0BA1ABB6" w14:textId="5E4B9C8D" w:rsidR="007A5A6D" w:rsidRPr="00126A24" w:rsidRDefault="007A5A6D" w:rsidP="00126A24">
                          <w:pPr>
                            <w:jc w:val="center"/>
                            <w:rPr>
                              <w:b/>
                            </w:rPr>
                          </w:pPr>
                          <w:r w:rsidRPr="00126A24">
                            <w:rPr>
                              <w:rFonts w:cs="Helvetica"/>
                              <w:b/>
                              <w:lang w:val="en-GB"/>
                            </w:rPr>
                            <w:t xml:space="preserve">Basic levels of service are </w:t>
                          </w:r>
                          <w:r w:rsidRPr="00126A24">
                            <w:rPr>
                              <w:rFonts w:cs="Helvetica"/>
                              <w:b/>
                              <w:sz w:val="24"/>
                              <w:szCs w:val="24"/>
                              <w:lang w:val="en-GB"/>
                            </w:rPr>
                            <w:t>in place</w:t>
                          </w:r>
                        </w:p>
                      </w:txbxContent>
                    </v:textbox>
                  </v:shape>
                  <v:roundrect id="Text Box 2" o:spid="_x0000_s1030" style="position:absolute;left:23156;top:118;width:17869;height:11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qzsIA&#10;AADaAAAADwAAAGRycy9kb3ducmV2LnhtbESP0WrCQBRE3wv9h+UW+qabtlrS6CqtIAgWJGk/4JK9&#10;ZqPZuyG7JvHvXaHQx2FmzjDL9Wgb0VPna8cKXqYJCOLS6ZorBb8/20kKwgdkjY1jUnAlD+vV48MS&#10;M+0GzqkvQiUihH2GCkwIbSalLw1Z9FPXEkfv6DqLIcqukrrDIcJtI1+T5F1arDkuGGxpY6g8Fxer&#10;4GT32w/K/aHy0n3NzfjN+SxV6vlp/FyACDSG//Bfe6cVvMH9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qrOwgAAANoAAAAPAAAAAAAAAAAAAAAAAJgCAABkcnMvZG93&#10;bnJldi54bWxQSwUGAAAAAAQABAD1AAAAhwMAAAAA&#10;" fillcolor="#7eb606 [3208]" strokecolor="#76ac05 [3048]" strokeweight="1pt">
                    <v:fill color2="#c9fa63 [1624]" rotate="t" focusposition="1,1" focussize="-1,-1" colors="0 #84c800;45220f #a4da69;1 #cce7b3" focus="100%" type="gradientRadial"/>
                    <v:shadow on="t" type="perspective" color="black" opacity="26214f" origin=",.5" offset="0" matrix="66191f,,,66191f"/>
                    <v:textbox>
                      <w:txbxContent>
                        <w:p w14:paraId="6C17C6C4" w14:textId="29E55DB3" w:rsidR="007A5A6D" w:rsidRPr="00126A24" w:rsidRDefault="007A5A6D" w:rsidP="00126A24">
                          <w:pPr>
                            <w:jc w:val="center"/>
                            <w:rPr>
                              <w:b/>
                            </w:rPr>
                          </w:pPr>
                          <w:r w:rsidRPr="00126A24">
                            <w:rPr>
                              <w:rFonts w:cs="Helvetica"/>
                              <w:b/>
                              <w:lang w:val="en-GB"/>
                            </w:rPr>
                            <w:t xml:space="preserve">A supportive enabling </w:t>
                          </w:r>
                          <w:r w:rsidRPr="00126A24">
                            <w:rPr>
                              <w:rFonts w:cs="Helvetica"/>
                              <w:b/>
                              <w:sz w:val="24"/>
                              <w:szCs w:val="24"/>
                              <w:lang w:val="en-GB"/>
                            </w:rPr>
                            <w:t>environment exists</w:t>
                          </w:r>
                        </w:p>
                      </w:txbxContent>
                    </v:textbox>
                  </v:roundrect>
                </v:group>
                <v:group id="Group 9" o:spid="_x0000_s1031" style="position:absolute;top:29094;width:41021;height:11754" coordsize="41025,11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Text Box 2" o:spid="_x0000_s1032" style="position:absolute;width:17869;height:11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yusAA&#10;AADaAAAADwAAAGRycy9kb3ducmV2LnhtbESP0YrCMBRE3xf8h3AF39bURRetRnEFQVBYqn7Apbk2&#10;1eamNFHr3xtB8HGYmTPMbNHaStyo8aVjBYN+AoI4d7rkQsHxsP4eg/ABWWPlmBQ8yMNi3vmaYard&#10;nTO67UMhIoR9igpMCHUqpc8NWfR9VxNH7+QaiyHKppC6wXuE20r+JMmvtFhyXDBY08pQftlfrYKz&#10;3a4nlPn/wkv3NzLtjrPhWKlet11OQQRqwyf8bm+0giG8rsQb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yusAAAADaAAAADwAAAAAAAAAAAAAAAACYAgAAZHJzL2Rvd25y&#10;ZXYueG1sUEsFBgAAAAAEAAQA9QAAAIUDAAAAAA==&#10;" fillcolor="#7eb606 [3208]" strokecolor="#76ac05 [3048]" strokeweight="1pt">
                    <v:fill color2="#c9fa63 [1624]" rotate="t" focusposition="1,1" focussize="-1,-1" colors="0 #84c800;45220f #a4da69;1 #cce7b3" focus="100%" type="gradientRadial"/>
                    <v:shadow on="t" type="perspective" color="black" opacity="26214f" origin=",.5" offset="0" matrix="66191f,,,66191f"/>
                    <v:textbox>
                      <w:txbxContent>
                        <w:p w14:paraId="31990218" w14:textId="5EAB1773" w:rsidR="007A5A6D" w:rsidRPr="00126A24" w:rsidRDefault="007A5A6D" w:rsidP="00126A24">
                          <w:pPr>
                            <w:jc w:val="center"/>
                            <w:rPr>
                              <w:b/>
                            </w:rPr>
                          </w:pPr>
                          <w:r w:rsidRPr="00126A24">
                            <w:rPr>
                              <w:rFonts w:cs="Helvetica"/>
                              <w:b/>
                              <w:lang w:val="en-GB"/>
                            </w:rPr>
                            <w:t xml:space="preserve">A technically appropriate system has been built that </w:t>
                          </w:r>
                          <w:r w:rsidRPr="00126A24">
                            <w:rPr>
                              <w:rFonts w:cs="Helvetica"/>
                              <w:b/>
                              <w:sz w:val="24"/>
                              <w:szCs w:val="24"/>
                              <w:lang w:val="en-GB"/>
                            </w:rPr>
                            <w:t>ca</w:t>
                          </w:r>
                          <w:r>
                            <w:rPr>
                              <w:rFonts w:cs="Helvetica"/>
                              <w:b/>
                              <w:lang w:val="en-GB"/>
                            </w:rPr>
                            <w:t>n service population growth</w:t>
                          </w:r>
                        </w:p>
                      </w:txbxContent>
                    </v:textbox>
                  </v:roundrect>
                  <v:shape id="Text Box 2" o:spid="_x0000_s1033" type="#_x0000_t176" style="position:absolute;left:23156;top:118;width:17869;height:11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FwMUA&#10;AADaAAAADwAAAGRycy9kb3ducmV2LnhtbESPQWvCQBSE70L/w/IKvYhuDNXWNBsploKgl1gPPT6y&#10;zyR0923MbjX+e7dQ8DjMzDdMvhqsEWfqfetYwWyagCCunG65VnD4+py8gvABWaNxTAqu5GFVPIxy&#10;zLS7cEnnfahFhLDPUEETQpdJ6auGLPqp64ijd3S9xRBlX0vd4yXCrZFpkiykxZbjQoMdrRuqfva/&#10;VsE4XVKZmtN87Xbjq5kP39uPxbNST4/D+xuIQEO4h//bG63gBf6uxBs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0XAxQAAANoAAAAPAAAAAAAAAAAAAAAAAJgCAABkcnMv&#10;ZG93bnJldi54bWxQSwUGAAAAAAQABAD1AAAAigMAAAAA&#10;" fillcolor="#ffb400 [3207]" strokecolor="#f2aa00 [3047]" strokeweight="1pt">
                    <v:fill color2="#ffd980 [1623]" rotate="t" focusposition="1,1" focussize="-1,-1" colors="0 #ffbe00;45220f #ffca5b;1 #ffdeab" focus="100%" type="gradientRadial"/>
                    <v:shadow on="t" type="perspective" color="black" opacity="26214f" origin=",.5" offset="0" matrix="66191f,,,66191f"/>
                    <v:textbox>
                      <w:txbxContent>
                        <w:p w14:paraId="3CA8404F" w14:textId="025E78FE" w:rsidR="007A5A6D" w:rsidRPr="00126A24" w:rsidRDefault="007A5A6D" w:rsidP="00126A24">
                          <w:pPr>
                            <w:jc w:val="center"/>
                            <w:rPr>
                              <w:b/>
                            </w:rPr>
                          </w:pPr>
                          <w:r w:rsidRPr="00126A24">
                            <w:rPr>
                              <w:rFonts w:cs="Helvetica"/>
                              <w:b/>
                              <w:lang w:val="en-GB"/>
                            </w:rPr>
                            <w:t>The service provider possesses sufficient capacity to ma</w:t>
                          </w:r>
                          <w:r>
                            <w:rPr>
                              <w:rFonts w:cs="Helvetica"/>
                              <w:b/>
                              <w:lang w:val="en-GB"/>
                            </w:rPr>
                            <w:t>intain a basic level of service</w:t>
                          </w:r>
                        </w:p>
                      </w:txbxContent>
                    </v:textbox>
                  </v:shape>
                </v:group>
                <v:roundrect id="Rounded Rectangle 10" o:spid="_x0000_s1034" style="position:absolute;left:11400;top:14487;width:17867;height:11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ybsMA&#10;AADbAAAADwAAAGRycy9kb3ducmV2LnhtbESPQW/CMAyF70j7D5EncYN0EwLWEdDENMQRyiauVuO1&#10;HY3TNaGUf48PSNxsvef3Pi9WvatVR22oPBt4GSegiHNvKy4MfB++RnNQISJbrD2TgSsFWC2fBgtM&#10;rb/wnrosFkpCOKRooIyxSbUOeUkOw9g3xKL9+tZhlLUttG3xIuGu1q9JMtUOK5aGEhtal5SfsrMz&#10;8HPs+n97mvFunmdhs558vjXHP2OGz/3HO6hIfXyY79dbK/hCL7/IAH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ybsMAAADbAAAADwAAAAAAAAAAAAAAAACYAgAAZHJzL2Rv&#10;d25yZXYueG1sUEsFBgAAAAAEAAQA9QAAAIgDAAAAAA==&#10;" fillcolor="#e2751d [3206]" strokecolor="#d66e1b [3046]" strokeweight="1pt">
                  <v:fill color2="#f0b98e [1622]" rotate="t" focusposition="1,1" focussize="-1,-1" colors="0 #f67309;45220f #ff9364;1 #fec3af" focus="100%" type="gradientRadial"/>
                  <v:shadow on="t" type="perspective" color="black" opacity="26214f" origin=",.5" offset="0" matrix="66191f,,,66191f"/>
                  <v:textbox>
                    <w:txbxContent>
                      <w:p w14:paraId="695218D3" w14:textId="4A919471" w:rsidR="007A5A6D" w:rsidRPr="00704DC7" w:rsidRDefault="007A5A6D" w:rsidP="00704DC7">
                        <w:pPr>
                          <w:jc w:val="center"/>
                          <w:rPr>
                            <w:b/>
                          </w:rPr>
                        </w:pPr>
                        <w:r w:rsidRPr="00704DC7">
                          <w:rPr>
                            <w:b/>
                          </w:rPr>
                          <w:t>A plan for cost recovery is in place</w:t>
                        </w:r>
                      </w:p>
                    </w:txbxContent>
                  </v:textbox>
                </v:roundrect>
              </v:group>
            </w:pict>
          </mc:Fallback>
        </mc:AlternateContent>
      </w:r>
      <w:r w:rsidR="000A56A0" w:rsidRPr="00CE5141">
        <w:br w:type="page"/>
      </w:r>
    </w:p>
    <w:p w14:paraId="2C5A6D09" w14:textId="77777777" w:rsidR="00055460" w:rsidRPr="00CE5141" w:rsidRDefault="00055460" w:rsidP="007F7D13">
      <w:pPr>
        <w:pStyle w:val="Heading1"/>
        <w:sectPr w:rsidR="00055460" w:rsidRPr="00CE5141" w:rsidSect="00AB2F20">
          <w:type w:val="continuous"/>
          <w:pgSz w:w="11900" w:h="16840"/>
          <w:pgMar w:top="1440" w:right="1080" w:bottom="1440" w:left="1080" w:header="708" w:footer="708" w:gutter="0"/>
          <w:cols w:num="2" w:space="708"/>
          <w:docGrid w:linePitch="360"/>
        </w:sectPr>
      </w:pPr>
    </w:p>
    <w:p w14:paraId="01075348" w14:textId="69EF0AC0" w:rsidR="00637561" w:rsidRPr="003E1B1C" w:rsidRDefault="000A56A0" w:rsidP="003E1B1C">
      <w:pPr>
        <w:pStyle w:val="Heading1"/>
        <w:rPr>
          <w:rStyle w:val="SubtleEmphasis"/>
          <w:i w:val="0"/>
          <w:iCs w:val="0"/>
          <w:color w:val="09213B" w:themeColor="text2"/>
        </w:rPr>
      </w:pPr>
      <w:bookmarkStart w:id="8" w:name="_Toc420755107"/>
      <w:r w:rsidRPr="00CE5141">
        <w:lastRenderedPageBreak/>
        <w:t xml:space="preserve">Defining </w:t>
      </w:r>
      <w:r w:rsidR="005C524F">
        <w:t xml:space="preserve">and Monitoring </w:t>
      </w:r>
      <w:r w:rsidRPr="00CE5141">
        <w:t>Service Quality</w:t>
      </w:r>
      <w:bookmarkEnd w:id="8"/>
    </w:p>
    <w:p w14:paraId="7F787473" w14:textId="143CC147" w:rsidR="00637561" w:rsidRPr="00637561" w:rsidRDefault="00637561" w:rsidP="003E1B1C">
      <w:pPr>
        <w:pStyle w:val="Heading3"/>
        <w:pBdr>
          <w:bottom w:val="single" w:sz="4" w:space="1" w:color="auto"/>
        </w:pBdr>
        <w:spacing w:before="120" w:after="120" w:line="360" w:lineRule="auto"/>
        <w:rPr>
          <w:i/>
          <w:iCs/>
          <w:color w:val="000000"/>
        </w:rPr>
      </w:pPr>
      <w:r w:rsidRPr="00C11012">
        <w:rPr>
          <w:rStyle w:val="SubtleEmphasis"/>
        </w:rPr>
        <w:t>Condition: Basic levels of service are maintained.</w:t>
      </w:r>
    </w:p>
    <w:p w14:paraId="6165AF9F" w14:textId="77777777" w:rsidR="002E269E" w:rsidRPr="00CE5141" w:rsidRDefault="002E269E" w:rsidP="005C3194">
      <w:pPr>
        <w:sectPr w:rsidR="002E269E" w:rsidRPr="00CE5141" w:rsidSect="00055460">
          <w:type w:val="continuous"/>
          <w:pgSz w:w="11900" w:h="16840"/>
          <w:pgMar w:top="1440" w:right="1080" w:bottom="1440" w:left="1080" w:header="708" w:footer="708" w:gutter="0"/>
          <w:cols w:space="708"/>
          <w:docGrid w:linePitch="360"/>
        </w:sectPr>
      </w:pPr>
    </w:p>
    <w:p w14:paraId="1189B866" w14:textId="4440BB29" w:rsidR="00F41479" w:rsidRDefault="009F4D18" w:rsidP="005C3194">
      <w:r>
        <w:lastRenderedPageBreak/>
        <w:t xml:space="preserve">The quality of a service has a direct impact on the sustainability of a service. If consumers are going to provide a sustainable source of revenue for </w:t>
      </w:r>
      <w:r w:rsidR="004420D1">
        <w:t>operations and maintenance</w:t>
      </w:r>
      <w:r>
        <w:t xml:space="preserve"> then the service provider must maintain sufficient demand for the service to ensure that consumers are willing to pay.</w:t>
      </w:r>
      <w:r w:rsidR="002A2344" w:rsidRPr="00124E78">
        <w:t xml:space="preserve"> </w:t>
      </w:r>
    </w:p>
    <w:p w14:paraId="391C343B" w14:textId="1DEA4592" w:rsidR="002A2344" w:rsidRDefault="002A2344" w:rsidP="005C3194">
      <w:r>
        <w:rPr>
          <w:noProof/>
          <w:lang w:val="en-GB" w:eastAsia="en-GB"/>
        </w:rPr>
        <w:drawing>
          <wp:inline distT="0" distB="0" distL="0" distR="0" wp14:anchorId="3F7BC4FC" wp14:editId="0F128AA3">
            <wp:extent cx="2867660" cy="1672590"/>
            <wp:effectExtent l="0" t="0" r="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572FD0" w14:textId="18DBF81D" w:rsidR="009A46D7" w:rsidRPr="009A46D7" w:rsidRDefault="009A46D7" w:rsidP="005C3194">
      <w:pPr>
        <w:rPr>
          <w:b/>
        </w:rPr>
      </w:pPr>
      <w:r w:rsidRPr="009A46D7">
        <w:rPr>
          <w:b/>
        </w:rPr>
        <w:t xml:space="preserve">Figure </w:t>
      </w:r>
      <w:r w:rsidRPr="009A46D7">
        <w:rPr>
          <w:b/>
          <w:highlight w:val="yellow"/>
        </w:rPr>
        <w:t>X</w:t>
      </w:r>
      <w:r w:rsidRPr="009A46D7">
        <w:rPr>
          <w:b/>
        </w:rPr>
        <w:t>. The links between performance and sustainability.</w:t>
      </w:r>
    </w:p>
    <w:p w14:paraId="0CA5303D" w14:textId="25F292C5" w:rsidR="005F796C" w:rsidRDefault="00022A1E" w:rsidP="005C3194">
      <w:r>
        <w:t>Monitoring the service levels over time is critical. Well defined service levels can</w:t>
      </w:r>
      <w:r w:rsidR="005F796C">
        <w:t xml:space="preserve"> assist agencies to understand why a community may choose not to pay for a service, sending warning signals on the service’s </w:t>
      </w:r>
      <w:r w:rsidR="004420D1">
        <w:t xml:space="preserve">performance and potential </w:t>
      </w:r>
      <w:r w:rsidR="005F796C">
        <w:t>long term financial viability.</w:t>
      </w:r>
    </w:p>
    <w:p w14:paraId="076E007B" w14:textId="55BA148E" w:rsidR="001F2EB6" w:rsidRPr="00A524EF" w:rsidRDefault="00F41479" w:rsidP="005C3194">
      <w:r>
        <w:t xml:space="preserve">In order to track the performance of a service a set of measurable </w:t>
      </w:r>
      <w:r w:rsidRPr="005B6A57">
        <w:t>parameters and standards for service quality are required.</w:t>
      </w:r>
      <w:r w:rsidR="00B062F1" w:rsidRPr="005B6A57">
        <w:t xml:space="preserve"> Table </w:t>
      </w:r>
      <w:r w:rsidR="00B062F1" w:rsidRPr="00271900">
        <w:rPr>
          <w:highlight w:val="yellow"/>
        </w:rPr>
        <w:t>X</w:t>
      </w:r>
      <w:r w:rsidR="00B062F1">
        <w:t xml:space="preserve"> presents a framework that defines two levels of service </w:t>
      </w:r>
      <w:r w:rsidR="00B062F1" w:rsidRPr="00A524EF">
        <w:t xml:space="preserve">that are measured against </w:t>
      </w:r>
      <w:r w:rsidR="00395410" w:rsidRPr="00A524EF">
        <w:t>five</w:t>
      </w:r>
      <w:r w:rsidR="00B062F1" w:rsidRPr="00A524EF">
        <w:t xml:space="preserve"> parameters.</w:t>
      </w:r>
      <w:r w:rsidR="00205C82">
        <w:t xml:space="preserve"> </w:t>
      </w:r>
      <w:r w:rsidR="00A524EF" w:rsidRPr="00A524EF">
        <w:t>A</w:t>
      </w:r>
      <w:r w:rsidR="00242106" w:rsidRPr="00A524EF">
        <w:t xml:space="preserve"> </w:t>
      </w:r>
      <w:r w:rsidR="00A524EF" w:rsidRPr="00A524EF">
        <w:t>‘</w:t>
      </w:r>
      <w:r w:rsidR="00242106" w:rsidRPr="00A524EF">
        <w:t>basic</w:t>
      </w:r>
      <w:r w:rsidR="00A524EF" w:rsidRPr="00A524EF">
        <w:t>’</w:t>
      </w:r>
      <w:r w:rsidR="00242106" w:rsidRPr="00A524EF">
        <w:t xml:space="preserve"> level of service has been defined with reference to established industry standards. A second, higher level of service</w:t>
      </w:r>
      <w:r w:rsidR="00A524EF" w:rsidRPr="00A524EF">
        <w:t>,</w:t>
      </w:r>
      <w:r w:rsidR="00242106" w:rsidRPr="00A524EF">
        <w:t xml:space="preserve"> </w:t>
      </w:r>
      <w:r w:rsidR="00A524EF" w:rsidRPr="00A524EF">
        <w:t>defines a measurable improvement on those standards</w:t>
      </w:r>
      <w:r w:rsidR="00242106" w:rsidRPr="00A524EF">
        <w:t xml:space="preserve">. </w:t>
      </w:r>
    </w:p>
    <w:p w14:paraId="55C94E1D" w14:textId="010E8D92" w:rsidR="00CA5DCF" w:rsidRPr="00CE5141" w:rsidRDefault="00B062F1" w:rsidP="005C3194">
      <w:r>
        <w:t>The f</w:t>
      </w:r>
      <w:r w:rsidR="00CA5DCF" w:rsidRPr="00CE5141">
        <w:t>ive service quality parameters</w:t>
      </w:r>
      <w:r>
        <w:t xml:space="preserve"> are</w:t>
      </w:r>
      <w:r w:rsidR="00CA5DCF" w:rsidRPr="00CE5141">
        <w:t>:</w:t>
      </w:r>
    </w:p>
    <w:p w14:paraId="5DB8AB32" w14:textId="13874434" w:rsidR="009A4545" w:rsidRPr="00B062F1" w:rsidRDefault="00B062F1" w:rsidP="005C3194">
      <w:pPr>
        <w:pStyle w:val="ListParagraph"/>
        <w:numPr>
          <w:ilvl w:val="0"/>
          <w:numId w:val="1"/>
        </w:numPr>
        <w:rPr>
          <w:color w:val="auto"/>
        </w:rPr>
      </w:pPr>
      <w:r w:rsidRPr="00B062F1">
        <w:rPr>
          <w:b/>
          <w:color w:val="C00000" w:themeColor="accent6"/>
        </w:rPr>
        <w:t>A</w:t>
      </w:r>
      <w:r w:rsidR="00DC5AF8" w:rsidRPr="00B062F1">
        <w:rPr>
          <w:b/>
          <w:color w:val="C00000" w:themeColor="accent6"/>
        </w:rPr>
        <w:t>ccessibility</w:t>
      </w:r>
      <w:r>
        <w:rPr>
          <w:color w:val="C00000" w:themeColor="accent6"/>
        </w:rPr>
        <w:t xml:space="preserve">: </w:t>
      </w:r>
      <w:r>
        <w:rPr>
          <w:color w:val="auto"/>
        </w:rPr>
        <w:t>the extent to which the beneficiary community can easily access water near to their home</w:t>
      </w:r>
    </w:p>
    <w:p w14:paraId="327B3B60" w14:textId="1BF972A1" w:rsidR="00DC5AF8" w:rsidRPr="001F2EB6" w:rsidRDefault="00B062F1" w:rsidP="001F2EB6">
      <w:pPr>
        <w:pStyle w:val="ListParagraph"/>
        <w:numPr>
          <w:ilvl w:val="0"/>
          <w:numId w:val="1"/>
        </w:numPr>
        <w:spacing w:after="120"/>
        <w:ind w:left="446"/>
        <w:contextualSpacing w:val="0"/>
        <w:rPr>
          <w:color w:val="auto"/>
        </w:rPr>
      </w:pPr>
      <w:r w:rsidRPr="00B062F1">
        <w:rPr>
          <w:b/>
          <w:color w:val="C00000" w:themeColor="accent6"/>
        </w:rPr>
        <w:lastRenderedPageBreak/>
        <w:t>A</w:t>
      </w:r>
      <w:r w:rsidR="00DC5AF8" w:rsidRPr="00B062F1">
        <w:rPr>
          <w:b/>
          <w:color w:val="C00000" w:themeColor="accent6"/>
        </w:rPr>
        <w:t>ffordability</w:t>
      </w:r>
      <w:r w:rsidR="001F2EB6">
        <w:rPr>
          <w:b/>
          <w:color w:val="C00000" w:themeColor="accent6"/>
        </w:rPr>
        <w:t>:</w:t>
      </w:r>
      <w:r w:rsidR="00DC5AF8" w:rsidRPr="00CE5141">
        <w:t xml:space="preserve"> </w:t>
      </w:r>
      <w:r w:rsidR="001F2EB6" w:rsidRPr="001F2EB6">
        <w:rPr>
          <w:color w:val="auto"/>
        </w:rPr>
        <w:t xml:space="preserve">the extent to which </w:t>
      </w:r>
      <w:r w:rsidR="00896145">
        <w:rPr>
          <w:color w:val="auto"/>
        </w:rPr>
        <w:t>the community can afford to pay</w:t>
      </w:r>
      <w:r w:rsidR="001F2EB6" w:rsidRPr="001F2EB6">
        <w:rPr>
          <w:color w:val="auto"/>
        </w:rPr>
        <w:t xml:space="preserve"> charges for the service</w:t>
      </w:r>
    </w:p>
    <w:p w14:paraId="6938450C" w14:textId="57A468D4" w:rsidR="005C3194" w:rsidRPr="001F2EB6" w:rsidRDefault="001F2EB6" w:rsidP="001F2EB6">
      <w:pPr>
        <w:pStyle w:val="ListParagraph"/>
        <w:numPr>
          <w:ilvl w:val="0"/>
          <w:numId w:val="1"/>
        </w:numPr>
        <w:spacing w:after="120"/>
        <w:ind w:left="446"/>
        <w:contextualSpacing w:val="0"/>
        <w:rPr>
          <w:color w:val="auto"/>
        </w:rPr>
      </w:pPr>
      <w:r w:rsidRPr="001F2EB6">
        <w:rPr>
          <w:b/>
          <w:color w:val="C00000" w:themeColor="accent6"/>
        </w:rPr>
        <w:t>R</w:t>
      </w:r>
      <w:r w:rsidR="00CE1603" w:rsidRPr="001F2EB6">
        <w:rPr>
          <w:b/>
          <w:color w:val="C00000" w:themeColor="accent6"/>
        </w:rPr>
        <w:t>eliability</w:t>
      </w:r>
      <w:r>
        <w:rPr>
          <w:b/>
          <w:color w:val="C00000" w:themeColor="accent6"/>
        </w:rPr>
        <w:t>:</w:t>
      </w:r>
      <w:r w:rsidR="00CE1603" w:rsidRPr="00CE5141">
        <w:t xml:space="preserve"> </w:t>
      </w:r>
      <w:r w:rsidRPr="001F2EB6">
        <w:rPr>
          <w:color w:val="auto"/>
        </w:rPr>
        <w:t>the extent to which the service is able to provide a reliable supply of water</w:t>
      </w:r>
    </w:p>
    <w:p w14:paraId="38682E5F" w14:textId="7C488E5E" w:rsidR="00CE1603" w:rsidRPr="001F2EB6" w:rsidRDefault="001F2EB6" w:rsidP="001F2EB6">
      <w:pPr>
        <w:pStyle w:val="ListParagraph"/>
        <w:numPr>
          <w:ilvl w:val="0"/>
          <w:numId w:val="1"/>
        </w:numPr>
        <w:spacing w:after="120"/>
        <w:ind w:left="446"/>
        <w:contextualSpacing w:val="0"/>
        <w:rPr>
          <w:color w:val="auto"/>
        </w:rPr>
      </w:pPr>
      <w:r w:rsidRPr="001F2EB6">
        <w:rPr>
          <w:b/>
          <w:color w:val="C00000" w:themeColor="accent6"/>
        </w:rPr>
        <w:t>S</w:t>
      </w:r>
      <w:r w:rsidR="005C3194" w:rsidRPr="001F2EB6">
        <w:rPr>
          <w:b/>
          <w:color w:val="C00000" w:themeColor="accent6"/>
        </w:rPr>
        <w:t>ource</w:t>
      </w:r>
      <w:r w:rsidRPr="001F2EB6">
        <w:rPr>
          <w:b/>
          <w:color w:val="C00000" w:themeColor="accent6"/>
        </w:rPr>
        <w:t xml:space="preserve"> of Water:</w:t>
      </w:r>
      <w:r w:rsidR="00CE1603" w:rsidRPr="00CE5141">
        <w:t xml:space="preserve"> </w:t>
      </w:r>
      <w:r w:rsidRPr="001F2EB6">
        <w:rPr>
          <w:color w:val="auto"/>
        </w:rPr>
        <w:t xml:space="preserve">the extent to which the source of </w:t>
      </w:r>
      <w:r>
        <w:rPr>
          <w:color w:val="auto"/>
        </w:rPr>
        <w:t xml:space="preserve">drinking </w:t>
      </w:r>
      <w:r w:rsidRPr="001F2EB6">
        <w:rPr>
          <w:color w:val="auto"/>
        </w:rPr>
        <w:t>water has been improved</w:t>
      </w:r>
    </w:p>
    <w:p w14:paraId="1F9263D5" w14:textId="009F3D47" w:rsidR="00CA5DCF" w:rsidRPr="001F2EB6" w:rsidRDefault="001F2EB6" w:rsidP="005C3194">
      <w:pPr>
        <w:pStyle w:val="ListParagraph"/>
        <w:numPr>
          <w:ilvl w:val="0"/>
          <w:numId w:val="1"/>
        </w:numPr>
        <w:rPr>
          <w:color w:val="auto"/>
        </w:rPr>
      </w:pPr>
      <w:r w:rsidRPr="001F2EB6">
        <w:rPr>
          <w:b/>
          <w:color w:val="C00000" w:themeColor="accent6"/>
        </w:rPr>
        <w:t>Water Quality:</w:t>
      </w:r>
      <w:r w:rsidR="00CE1603" w:rsidRPr="00CE5141">
        <w:t xml:space="preserve"> </w:t>
      </w:r>
      <w:r w:rsidRPr="001F2EB6">
        <w:rPr>
          <w:color w:val="auto"/>
        </w:rPr>
        <w:t>the extent to which the water supplied is safe to drink</w:t>
      </w:r>
    </w:p>
    <w:p w14:paraId="4FCDD64E" w14:textId="61535AC1" w:rsidR="00F41479" w:rsidRPr="00CE5141" w:rsidRDefault="009734B3" w:rsidP="005C3194">
      <w:r>
        <w:t xml:space="preserve">Program managers should review these service levels and ensure that they inform the design objectives for </w:t>
      </w:r>
      <w:r w:rsidR="001F2EB6">
        <w:t>a new</w:t>
      </w:r>
      <w:r>
        <w:t xml:space="preserve"> </w:t>
      </w:r>
      <w:r w:rsidR="00553215">
        <w:t>system</w:t>
      </w:r>
      <w:r>
        <w:t>. It is also important to conduct baseline and</w:t>
      </w:r>
      <w:r w:rsidR="00CA5DCF" w:rsidRPr="00CE5141">
        <w:t xml:space="preserve"> </w:t>
      </w:r>
      <w:proofErr w:type="spellStart"/>
      <w:r w:rsidR="00CA5DCF" w:rsidRPr="00CE5141">
        <w:t>endline</w:t>
      </w:r>
      <w:proofErr w:type="spellEnd"/>
      <w:r w:rsidR="00CA5DCF" w:rsidRPr="00CE5141">
        <w:t xml:space="preserve"> survey</w:t>
      </w:r>
      <w:r>
        <w:t>s</w:t>
      </w:r>
      <w:r w:rsidR="00CA5DCF" w:rsidRPr="00CE5141">
        <w:t xml:space="preserve"> to </w:t>
      </w:r>
      <w:r>
        <w:t>track any change in the quality of the service received by t</w:t>
      </w:r>
      <w:r w:rsidR="001F2EB6">
        <w:t xml:space="preserve">he </w:t>
      </w:r>
      <w:r w:rsidR="001F2EB6" w:rsidRPr="00714CA2">
        <w:t>community</w:t>
      </w:r>
      <w:r w:rsidR="00662CE7">
        <w:t xml:space="preserve"> (note: a</w:t>
      </w:r>
      <w:r w:rsidR="001F2EB6" w:rsidRPr="00714CA2">
        <w:t xml:space="preserve"> budget </w:t>
      </w:r>
      <w:r w:rsidR="00662CE7">
        <w:t>for monitoring activities should be included in the program design)</w:t>
      </w:r>
      <w:r w:rsidR="00CA5DCF" w:rsidRPr="00714CA2">
        <w:t>.</w:t>
      </w:r>
    </w:p>
    <w:p w14:paraId="414D5991" w14:textId="5991CE57" w:rsidR="002E269E" w:rsidRPr="00CE5141" w:rsidRDefault="00CA5DCF" w:rsidP="005C3194">
      <w:r w:rsidRPr="00CE5141">
        <w:t>One cros</w:t>
      </w:r>
      <w:r w:rsidR="00520D7A" w:rsidRPr="00CE5141">
        <w:t>s cutting issue to be</w:t>
      </w:r>
      <w:r w:rsidR="001F2EB6">
        <w:t xml:space="preserve">ar in mind is the </w:t>
      </w:r>
      <w:r w:rsidR="001F2EB6" w:rsidRPr="00CA49F8">
        <w:rPr>
          <w:b/>
          <w:color w:val="C00000" w:themeColor="accent6"/>
        </w:rPr>
        <w:t>acceptability</w:t>
      </w:r>
      <w:r w:rsidR="001F2EB6" w:rsidRPr="00CA49F8">
        <w:rPr>
          <w:color w:val="C00000" w:themeColor="accent6"/>
        </w:rPr>
        <w:t xml:space="preserve"> </w:t>
      </w:r>
      <w:r w:rsidR="00CA49F8" w:rsidRPr="00CA49F8">
        <w:t xml:space="preserve">of </w:t>
      </w:r>
      <w:r w:rsidR="001F2EB6" w:rsidRPr="00CE5141">
        <w:t>the</w:t>
      </w:r>
      <w:r w:rsidR="00520D7A" w:rsidRPr="00CE5141">
        <w:t xml:space="preserve"> service. </w:t>
      </w:r>
      <w:r w:rsidR="001F2EB6">
        <w:t xml:space="preserve">Acceptability as a concept is difficult to define, but in the context of rural water supply </w:t>
      </w:r>
      <w:r w:rsidR="00CA49F8">
        <w:t>acceptability encompasses, at minimum, the community’s satisfaction with the location of water points and vulnerable community members’ satisfaction with the design of the water points (for example, is an individual that is dependent on a wheel chair for mobility able to easily reach and use the water point). Both of these aspects of acceptability can be strongly influenced by the extent to which the community participates in the design, implementation and evaluation of a water supply service.</w:t>
      </w:r>
    </w:p>
    <w:p w14:paraId="00E53D40" w14:textId="4254910C" w:rsidR="000A56A0" w:rsidRPr="00CE5141" w:rsidRDefault="000A56A0" w:rsidP="005C3194">
      <w:r w:rsidRPr="00CE5141">
        <w:br w:type="page"/>
      </w:r>
    </w:p>
    <w:p w14:paraId="083642B4" w14:textId="77777777" w:rsidR="002E269E" w:rsidRPr="00CE5141" w:rsidRDefault="002E269E" w:rsidP="007F7D13">
      <w:pPr>
        <w:pStyle w:val="Heading1"/>
        <w:sectPr w:rsidR="002E269E" w:rsidRPr="00CE5141" w:rsidSect="002E269E">
          <w:type w:val="continuous"/>
          <w:pgSz w:w="11900" w:h="16840"/>
          <w:pgMar w:top="1440" w:right="1080" w:bottom="1440" w:left="1080" w:header="708" w:footer="708" w:gutter="0"/>
          <w:cols w:num="2" w:space="708"/>
          <w:docGrid w:linePitch="360"/>
        </w:sectPr>
      </w:pPr>
    </w:p>
    <w:p w14:paraId="1C66A878" w14:textId="77777777" w:rsidR="001A7939" w:rsidRPr="005E013E" w:rsidRDefault="001A7939" w:rsidP="001A7939">
      <w:pPr>
        <w:rPr>
          <w:b/>
        </w:rPr>
      </w:pPr>
      <w:r w:rsidRPr="005E013E">
        <w:rPr>
          <w:b/>
        </w:rPr>
        <w:lastRenderedPageBreak/>
        <w:t xml:space="preserve">Table </w:t>
      </w:r>
      <w:r w:rsidRPr="00482157">
        <w:rPr>
          <w:b/>
          <w:highlight w:val="yellow"/>
        </w:rPr>
        <w:t>X</w:t>
      </w:r>
      <w:r w:rsidRPr="00A524EF">
        <w:rPr>
          <w:b/>
        </w:rPr>
        <w:t>.</w:t>
      </w:r>
      <w:r w:rsidRPr="005E013E">
        <w:rPr>
          <w:b/>
        </w:rPr>
        <w:t xml:space="preserve"> </w:t>
      </w:r>
      <w:r>
        <w:rPr>
          <w:b/>
        </w:rPr>
        <w:t>Service Quality</w:t>
      </w:r>
      <w:r w:rsidRPr="005E013E">
        <w:rPr>
          <w:b/>
        </w:rPr>
        <w:t xml:space="preserve"> Indicators </w:t>
      </w:r>
      <w:r>
        <w:rPr>
          <w:b/>
        </w:rPr>
        <w:fldChar w:fldCharType="begin"/>
      </w:r>
      <w:r>
        <w:rPr>
          <w:b/>
        </w:rPr>
        <w:instrText xml:space="preserve"> ADDIN EN.CITE &lt;EndNote&gt;&lt;Cite&gt;&lt;Author&gt;Triple-S&lt;/Author&gt;&lt;Year&gt;2011&lt;/Year&gt;&lt;RecNum&gt;38&lt;/RecNum&gt;&lt;DisplayText&gt;(Triple-S, 2011)&lt;/DisplayText&gt;&lt;record&gt;&lt;rec-number&gt;38&lt;/rec-number&gt;&lt;foreign-keys&gt;&lt;key app="EN" db-id="tfxr2eaae22wwsee05e5zp5l9vaeaev5zr2w" timestamp="1409835158"&gt;38&lt;/key&gt;&lt;/foreign-keys&gt;&lt;ref-type name="Report"&gt;27&lt;/ref-type&gt;&lt;contributors&gt;&lt;authors&gt;&lt;author&gt;Triple-S&lt;/author&gt;&lt;/authors&gt;&lt;/contributors&gt;&lt;titles&gt;&lt;title&gt;Service Delivery Indicators and Monitoring to Improve Sustainability of Rural Water Supplies&lt;/title&gt;&lt;/titles&gt;&lt;dates&gt;&lt;year&gt;2011&lt;/year&gt;&lt;/dates&gt;&lt;pub-location&gt;The Hague, The Netherlands&lt;/pub-location&gt;&lt;publisher&gt;IRC International Water and Sanitation Centre&lt;/publisher&gt;&lt;urls&gt;&lt;/urls&gt;&lt;/record&gt;&lt;/Cite&gt;&lt;/EndNote&gt;</w:instrText>
      </w:r>
      <w:r>
        <w:rPr>
          <w:b/>
        </w:rPr>
        <w:fldChar w:fldCharType="separate"/>
      </w:r>
      <w:r>
        <w:rPr>
          <w:b/>
          <w:noProof/>
        </w:rPr>
        <w:t>(ad</w:t>
      </w:r>
      <w:r w:rsidRPr="00AE143E">
        <w:rPr>
          <w:b/>
          <w:noProof/>
        </w:rPr>
        <w:t>apted from Triple-S, 2011</w:t>
      </w:r>
      <w:r>
        <w:rPr>
          <w:b/>
          <w:noProof/>
        </w:rPr>
        <w:t>;</w:t>
      </w:r>
      <w:r w:rsidRPr="00AE143E">
        <w:rPr>
          <w:b/>
          <w:noProof/>
        </w:rPr>
        <w:t xml:space="preserve"> </w:t>
      </w:r>
      <w:r w:rsidRPr="00AE143E">
        <w:rPr>
          <w:b/>
        </w:rPr>
        <w:t>WHO and UNICEF, 2012</w:t>
      </w:r>
      <w:r>
        <w:rPr>
          <w:b/>
        </w:rPr>
        <w:t>;</w:t>
      </w:r>
      <w:r w:rsidRPr="00AE143E">
        <w:rPr>
          <w:b/>
        </w:rPr>
        <w:t xml:space="preserve"> and WHO and UNICEF, 2014</w:t>
      </w:r>
      <w:r>
        <w:rPr>
          <w:b/>
          <w:noProof/>
        </w:rPr>
        <w:t>)</w:t>
      </w:r>
      <w:r>
        <w:rPr>
          <w:b/>
        </w:rPr>
        <w:fldChar w:fldCharType="end"/>
      </w:r>
      <w:r>
        <w:rPr>
          <w:b/>
        </w:rPr>
        <w:t>.</w:t>
      </w:r>
    </w:p>
    <w:p w14:paraId="2959C6CE" w14:textId="77777777" w:rsidR="001A7939" w:rsidRDefault="001A7939" w:rsidP="001A7939">
      <w:pPr>
        <w:spacing w:after="120"/>
      </w:pPr>
    </w:p>
    <w:tbl>
      <w:tblPr>
        <w:tblStyle w:val="TableGrid"/>
        <w:tblW w:w="14386" w:type="dxa"/>
        <w:tblInd w:w="-162" w:type="dxa"/>
        <w:tblLook w:val="04A0" w:firstRow="1" w:lastRow="0" w:firstColumn="1" w:lastColumn="0" w:noHBand="0" w:noVBand="1"/>
      </w:tblPr>
      <w:tblGrid>
        <w:gridCol w:w="1453"/>
        <w:gridCol w:w="1688"/>
        <w:gridCol w:w="1603"/>
        <w:gridCol w:w="1652"/>
        <w:gridCol w:w="1790"/>
        <w:gridCol w:w="1717"/>
        <w:gridCol w:w="2487"/>
        <w:gridCol w:w="1996"/>
      </w:tblGrid>
      <w:tr w:rsidR="00700E96" w14:paraId="2F6CD58B" w14:textId="77777777" w:rsidTr="00B07907">
        <w:trPr>
          <w:trHeight w:val="723"/>
        </w:trPr>
        <w:tc>
          <w:tcPr>
            <w:tcW w:w="1453" w:type="dxa"/>
            <w:shd w:val="clear" w:color="auto" w:fill="D9D9D9" w:themeFill="background1" w:themeFillShade="D9"/>
            <w:vAlign w:val="center"/>
          </w:tcPr>
          <w:p w14:paraId="742CA40D" w14:textId="77777777"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sidRPr="00467D26">
              <w:rPr>
                <w:b/>
              </w:rPr>
              <w:t>Service Level</w:t>
            </w:r>
          </w:p>
        </w:tc>
        <w:tc>
          <w:tcPr>
            <w:tcW w:w="1688" w:type="dxa"/>
            <w:shd w:val="clear" w:color="auto" w:fill="D9D9D9" w:themeFill="background1" w:themeFillShade="D9"/>
            <w:vAlign w:val="center"/>
          </w:tcPr>
          <w:p w14:paraId="2C63A99C" w14:textId="77777777"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sidRPr="00467D26">
              <w:rPr>
                <w:b/>
              </w:rPr>
              <w:t>Accessibility (</w:t>
            </w:r>
            <w:r>
              <w:rPr>
                <w:b/>
              </w:rPr>
              <w:t>distance</w:t>
            </w:r>
            <w:r w:rsidRPr="00467D26">
              <w:rPr>
                <w:b/>
              </w:rPr>
              <w:t>)</w:t>
            </w:r>
          </w:p>
        </w:tc>
        <w:tc>
          <w:tcPr>
            <w:tcW w:w="1603" w:type="dxa"/>
            <w:shd w:val="clear" w:color="auto" w:fill="D9D9D9" w:themeFill="background1" w:themeFillShade="D9"/>
            <w:vAlign w:val="center"/>
          </w:tcPr>
          <w:p w14:paraId="11F351F9" w14:textId="213A471E" w:rsidR="00700E96" w:rsidRDefault="00700E96" w:rsidP="00E950A4">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sidRPr="00467D26">
              <w:rPr>
                <w:b/>
              </w:rPr>
              <w:t>Accessibility (</w:t>
            </w:r>
            <w:r>
              <w:rPr>
                <w:b/>
              </w:rPr>
              <w:t>time</w:t>
            </w:r>
            <w:r w:rsidRPr="00467D26">
              <w:rPr>
                <w:b/>
              </w:rPr>
              <w:t>)</w:t>
            </w:r>
          </w:p>
        </w:tc>
        <w:tc>
          <w:tcPr>
            <w:tcW w:w="1652" w:type="dxa"/>
            <w:shd w:val="clear" w:color="auto" w:fill="D9D9D9" w:themeFill="background1" w:themeFillShade="D9"/>
            <w:vAlign w:val="center"/>
          </w:tcPr>
          <w:p w14:paraId="5A43D4C8" w14:textId="4BAF5531"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Pr>
                <w:b/>
              </w:rPr>
              <w:t>Affordability</w:t>
            </w:r>
            <w:r>
              <w:rPr>
                <w:b/>
              </w:rPr>
              <w:br/>
              <w:t>(</w:t>
            </w:r>
            <w:r w:rsidR="00896145">
              <w:rPr>
                <w:b/>
              </w:rPr>
              <w:t xml:space="preserve">scale, </w:t>
            </w:r>
            <w:r>
              <w:rPr>
                <w:b/>
              </w:rPr>
              <w:t>1 – 5)</w:t>
            </w:r>
          </w:p>
        </w:tc>
        <w:tc>
          <w:tcPr>
            <w:tcW w:w="1790" w:type="dxa"/>
            <w:shd w:val="clear" w:color="auto" w:fill="D9D9D9" w:themeFill="background1" w:themeFillShade="D9"/>
            <w:vAlign w:val="center"/>
          </w:tcPr>
          <w:p w14:paraId="7593C14E" w14:textId="2F65017C"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sidRPr="00467D26">
              <w:rPr>
                <w:b/>
              </w:rPr>
              <w:t>Reliability</w:t>
            </w:r>
            <w:r>
              <w:rPr>
                <w:b/>
              </w:rPr>
              <w:br/>
              <w:t>(breakdowns)</w:t>
            </w:r>
          </w:p>
        </w:tc>
        <w:tc>
          <w:tcPr>
            <w:tcW w:w="1717" w:type="dxa"/>
            <w:shd w:val="clear" w:color="auto" w:fill="D9D9D9" w:themeFill="background1" w:themeFillShade="D9"/>
            <w:vAlign w:val="center"/>
          </w:tcPr>
          <w:p w14:paraId="7EAE276F" w14:textId="2704149F"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Pr>
                <w:b/>
              </w:rPr>
              <w:t>Reliability</w:t>
            </w:r>
            <w:r>
              <w:rPr>
                <w:b/>
              </w:rPr>
              <w:br/>
              <w:t>(spot check)</w:t>
            </w:r>
          </w:p>
        </w:tc>
        <w:tc>
          <w:tcPr>
            <w:tcW w:w="2487" w:type="dxa"/>
            <w:shd w:val="clear" w:color="auto" w:fill="D9D9D9" w:themeFill="background1" w:themeFillShade="D9"/>
            <w:vAlign w:val="center"/>
          </w:tcPr>
          <w:p w14:paraId="7A2BC774" w14:textId="77777777"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Pr>
                <w:b/>
              </w:rPr>
              <w:t>Source</w:t>
            </w:r>
          </w:p>
        </w:tc>
        <w:tc>
          <w:tcPr>
            <w:tcW w:w="1996" w:type="dxa"/>
            <w:shd w:val="clear" w:color="auto" w:fill="D9D9D9" w:themeFill="background1" w:themeFillShade="D9"/>
            <w:vAlign w:val="center"/>
          </w:tcPr>
          <w:p w14:paraId="7C8FB056" w14:textId="77777777" w:rsidR="00700E96" w:rsidRPr="00467D2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rPr>
                <w:b/>
              </w:rPr>
            </w:pPr>
            <w:r>
              <w:rPr>
                <w:b/>
              </w:rPr>
              <w:t xml:space="preserve">Water </w:t>
            </w:r>
            <w:r w:rsidRPr="00467D26">
              <w:rPr>
                <w:b/>
              </w:rPr>
              <w:t>Quality</w:t>
            </w:r>
          </w:p>
        </w:tc>
      </w:tr>
      <w:tr w:rsidR="00700E96" w14:paraId="2558DD65" w14:textId="77777777" w:rsidTr="00700E96">
        <w:tc>
          <w:tcPr>
            <w:tcW w:w="1453" w:type="dxa"/>
            <w:vAlign w:val="center"/>
          </w:tcPr>
          <w:p w14:paraId="7D490A89" w14:textId="77777777"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pPr>
            <w:r>
              <w:t>Improving</w:t>
            </w:r>
          </w:p>
        </w:tc>
        <w:tc>
          <w:tcPr>
            <w:tcW w:w="1688" w:type="dxa"/>
            <w:shd w:val="clear" w:color="auto" w:fill="auto"/>
            <w:vAlign w:val="center"/>
          </w:tcPr>
          <w:p w14:paraId="32139C8C" w14:textId="2D54FD3F" w:rsidR="00700E96" w:rsidRPr="00553215" w:rsidRDefault="003226D1" w:rsidP="003226D1">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rsidRPr="00553215">
              <w:t xml:space="preserve">≥ </w:t>
            </w:r>
            <w:r w:rsidRPr="00A524EF">
              <w:rPr>
                <w:highlight w:val="yellow"/>
              </w:rPr>
              <w:t>50%</w:t>
            </w:r>
            <w:r w:rsidRPr="00553215">
              <w:t xml:space="preserve"> of households have access to piped water on site</w:t>
            </w:r>
          </w:p>
        </w:tc>
        <w:tc>
          <w:tcPr>
            <w:tcW w:w="1603" w:type="dxa"/>
            <w:tcBorders>
              <w:bottom w:val="single" w:sz="4" w:space="0" w:color="auto"/>
            </w:tcBorders>
            <w:vAlign w:val="center"/>
          </w:tcPr>
          <w:p w14:paraId="15D88DA4" w14:textId="57AABBCE" w:rsidR="00700E96" w:rsidRPr="00553215" w:rsidRDefault="003226D1" w:rsidP="000478BF">
            <w:pPr>
              <w:spacing w:before="60" w:after="60"/>
              <w:jc w:val="left"/>
            </w:pPr>
            <w:r w:rsidRPr="00553215">
              <w:t xml:space="preserve">≥ </w:t>
            </w:r>
            <w:r w:rsidRPr="00A524EF">
              <w:rPr>
                <w:highlight w:val="yellow"/>
              </w:rPr>
              <w:t>50%</w:t>
            </w:r>
            <w:r w:rsidRPr="00553215">
              <w:t xml:space="preserve"> of households have access to piped water on site</w:t>
            </w:r>
          </w:p>
        </w:tc>
        <w:tc>
          <w:tcPr>
            <w:tcW w:w="1652" w:type="dxa"/>
            <w:vAlign w:val="center"/>
          </w:tcPr>
          <w:p w14:paraId="35696B1F" w14:textId="00788D31" w:rsidR="00700E96" w:rsidRPr="00553215"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rsidRPr="00553215">
              <w:t>4 – 5</w:t>
            </w:r>
          </w:p>
        </w:tc>
        <w:tc>
          <w:tcPr>
            <w:tcW w:w="1790" w:type="dxa"/>
            <w:shd w:val="clear" w:color="auto" w:fill="auto"/>
            <w:vAlign w:val="center"/>
          </w:tcPr>
          <w:p w14:paraId="283F49F2" w14:textId="29BAF473" w:rsidR="00700E96" w:rsidRPr="00553215"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Lines="60" w:after="144"/>
              <w:jc w:val="left"/>
            </w:pPr>
            <w:r w:rsidRPr="00553215">
              <w:t>≤ 1 day</w:t>
            </w:r>
          </w:p>
        </w:tc>
        <w:tc>
          <w:tcPr>
            <w:tcW w:w="1717" w:type="dxa"/>
            <w:vAlign w:val="center"/>
          </w:tcPr>
          <w:p w14:paraId="0F775CB4" w14:textId="4DAE64E0" w:rsidR="00700E96" w:rsidRPr="00553215" w:rsidRDefault="00700E96" w:rsidP="000478BF">
            <w:pPr>
              <w:spacing w:before="60" w:afterLines="60" w:after="144"/>
              <w:jc w:val="left"/>
            </w:pPr>
            <w:r w:rsidRPr="00553215">
              <w:t>80 to 100%</w:t>
            </w:r>
            <w:r w:rsidRPr="00553215">
              <w:br/>
              <w:t>fully functional</w:t>
            </w:r>
          </w:p>
        </w:tc>
        <w:tc>
          <w:tcPr>
            <w:tcW w:w="2487" w:type="dxa"/>
            <w:vAlign w:val="center"/>
          </w:tcPr>
          <w:p w14:paraId="712C1B90" w14:textId="08AE8A85" w:rsidR="00700E96" w:rsidRPr="00553215" w:rsidRDefault="00700E96" w:rsidP="004655B5">
            <w:pPr>
              <w:spacing w:before="60" w:afterLines="60" w:after="144"/>
              <w:jc w:val="left"/>
            </w:pPr>
            <w:r w:rsidRPr="00553215">
              <w:t xml:space="preserve">≥ </w:t>
            </w:r>
            <w:r w:rsidRPr="00A524EF">
              <w:rPr>
                <w:highlight w:val="yellow"/>
              </w:rPr>
              <w:t>50%</w:t>
            </w:r>
            <w:r w:rsidRPr="00553215">
              <w:t xml:space="preserve"> of households have access</w:t>
            </w:r>
            <w:r w:rsidR="004655B5" w:rsidRPr="00553215">
              <w:t xml:space="preserve"> to piped water on site</w:t>
            </w:r>
          </w:p>
        </w:tc>
        <w:tc>
          <w:tcPr>
            <w:tcW w:w="1996" w:type="dxa"/>
            <w:vAlign w:val="center"/>
          </w:tcPr>
          <w:p w14:paraId="442A49AA" w14:textId="77777777" w:rsidR="00700E96" w:rsidRDefault="00700E96" w:rsidP="000478BF">
            <w:pPr>
              <w:spacing w:before="60" w:afterLines="60" w:after="144"/>
              <w:jc w:val="left"/>
            </w:pPr>
            <w:r>
              <w:t>Progressively satisfies national regulations</w:t>
            </w:r>
          </w:p>
        </w:tc>
      </w:tr>
      <w:tr w:rsidR="00700E96" w14:paraId="7B01E52D" w14:textId="77777777" w:rsidTr="006222D9">
        <w:tc>
          <w:tcPr>
            <w:tcW w:w="1453" w:type="dxa"/>
            <w:shd w:val="clear" w:color="auto" w:fill="auto"/>
            <w:vAlign w:val="center"/>
          </w:tcPr>
          <w:p w14:paraId="5D322EFA" w14:textId="77777777"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t>Basic</w:t>
            </w:r>
          </w:p>
        </w:tc>
        <w:tc>
          <w:tcPr>
            <w:tcW w:w="1688" w:type="dxa"/>
            <w:tcBorders>
              <w:right w:val="single" w:sz="4" w:space="0" w:color="auto"/>
            </w:tcBorders>
            <w:shd w:val="clear" w:color="auto" w:fill="auto"/>
            <w:vAlign w:val="center"/>
          </w:tcPr>
          <w:p w14:paraId="7F500B90" w14:textId="77777777"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t>&lt; 500 metres</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3C68720F" w14:textId="1512909E" w:rsidR="00700E96" w:rsidRDefault="00700E96" w:rsidP="006222D9">
            <w:pPr>
              <w:spacing w:before="60" w:after="60"/>
              <w:jc w:val="left"/>
            </w:pPr>
            <w:r>
              <w:t>&lt; 30 minutes</w:t>
            </w:r>
          </w:p>
        </w:tc>
        <w:tc>
          <w:tcPr>
            <w:tcW w:w="1652" w:type="dxa"/>
            <w:tcBorders>
              <w:left w:val="single" w:sz="4" w:space="0" w:color="auto"/>
            </w:tcBorders>
            <w:shd w:val="clear" w:color="auto" w:fill="auto"/>
            <w:vAlign w:val="center"/>
          </w:tcPr>
          <w:p w14:paraId="3CD88A39" w14:textId="7C8A8BEB"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t>≥ 3</w:t>
            </w:r>
          </w:p>
        </w:tc>
        <w:tc>
          <w:tcPr>
            <w:tcW w:w="1790" w:type="dxa"/>
            <w:shd w:val="clear" w:color="auto" w:fill="auto"/>
            <w:vAlign w:val="center"/>
          </w:tcPr>
          <w:p w14:paraId="5A3B90BC" w14:textId="3D5AEAE8"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t>≤ 2 days</w:t>
            </w:r>
          </w:p>
        </w:tc>
        <w:tc>
          <w:tcPr>
            <w:tcW w:w="1717" w:type="dxa"/>
            <w:shd w:val="clear" w:color="auto" w:fill="auto"/>
            <w:vAlign w:val="center"/>
          </w:tcPr>
          <w:p w14:paraId="3A2C68F2" w14:textId="77777777"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t>No more than 30% are non-functional</w:t>
            </w:r>
          </w:p>
        </w:tc>
        <w:tc>
          <w:tcPr>
            <w:tcW w:w="2487" w:type="dxa"/>
            <w:shd w:val="clear" w:color="auto" w:fill="auto"/>
            <w:vAlign w:val="center"/>
          </w:tcPr>
          <w:p w14:paraId="54C2CDED" w14:textId="77777777"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rsidRPr="00802F12">
              <w:t xml:space="preserve">Public taps or standpipes, tube wells or boreholes, protected dug wells, </w:t>
            </w:r>
            <w:r>
              <w:t>protected springs and/or</w:t>
            </w:r>
            <w:r w:rsidRPr="00802F12">
              <w:t xml:space="preserve"> rainwater collection</w:t>
            </w:r>
          </w:p>
        </w:tc>
        <w:tc>
          <w:tcPr>
            <w:tcW w:w="1996" w:type="dxa"/>
            <w:shd w:val="clear" w:color="auto" w:fill="auto"/>
            <w:vAlign w:val="center"/>
          </w:tcPr>
          <w:p w14:paraId="5062D7E9" w14:textId="77777777" w:rsidR="00700E96" w:rsidRDefault="00700E96" w:rsidP="000478BF">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left"/>
            </w:pPr>
            <w:r>
              <w:t xml:space="preserve">Satisfies </w:t>
            </w:r>
            <w:r w:rsidRPr="00E613B7">
              <w:rPr>
                <w:lang w:val="en-US"/>
              </w:rPr>
              <w:t>WHO guideline values for E.coli, fluoride and arsenic</w:t>
            </w:r>
          </w:p>
        </w:tc>
      </w:tr>
    </w:tbl>
    <w:p w14:paraId="32B70113" w14:textId="77777777" w:rsidR="001A7939" w:rsidRDefault="001A7939" w:rsidP="001A7939"/>
    <w:p w14:paraId="6B98C5C2" w14:textId="77777777" w:rsidR="0060198D" w:rsidRDefault="0060198D" w:rsidP="001A7939">
      <w:pPr>
        <w:sectPr w:rsidR="0060198D" w:rsidSect="001A7939">
          <w:pgSz w:w="16840" w:h="11900" w:orient="landscape"/>
          <w:pgMar w:top="1080" w:right="1440" w:bottom="1080" w:left="1440" w:header="708" w:footer="708" w:gutter="0"/>
          <w:cols w:space="708"/>
          <w:docGrid w:linePitch="360"/>
        </w:sectPr>
      </w:pPr>
    </w:p>
    <w:p w14:paraId="6F936AC1" w14:textId="643802A3" w:rsidR="001A7939" w:rsidRDefault="00372ACB" w:rsidP="00A438E9">
      <w:pPr>
        <w:pStyle w:val="Heading2"/>
      </w:pPr>
      <w:bookmarkStart w:id="9" w:name="_Toc420755108"/>
      <w:r>
        <w:lastRenderedPageBreak/>
        <w:t xml:space="preserve">Technical </w:t>
      </w:r>
      <w:r w:rsidR="00A438E9">
        <w:t>Notes</w:t>
      </w:r>
      <w:bookmarkEnd w:id="9"/>
    </w:p>
    <w:p w14:paraId="53CA19C8" w14:textId="77777777" w:rsidR="00A438E9" w:rsidRDefault="00A438E9" w:rsidP="001A7939">
      <w:pPr>
        <w:rPr>
          <w:b/>
        </w:rPr>
      </w:pPr>
    </w:p>
    <w:p w14:paraId="5A69C90A" w14:textId="77777777" w:rsidR="00963509" w:rsidRDefault="00963509" w:rsidP="001A7939">
      <w:pPr>
        <w:rPr>
          <w:b/>
        </w:rPr>
        <w:sectPr w:rsidR="00963509" w:rsidSect="00A74D06">
          <w:pgSz w:w="11900" w:h="16840"/>
          <w:pgMar w:top="1440" w:right="1080" w:bottom="1440" w:left="1080" w:header="708" w:footer="708" w:gutter="0"/>
          <w:cols w:space="708"/>
          <w:docGrid w:linePitch="360"/>
        </w:sectPr>
      </w:pPr>
    </w:p>
    <w:p w14:paraId="2E561D25" w14:textId="529FE039" w:rsidR="00372ACB" w:rsidRDefault="001A7939" w:rsidP="001A7939">
      <w:r w:rsidRPr="00F4318B">
        <w:rPr>
          <w:b/>
        </w:rPr>
        <w:lastRenderedPageBreak/>
        <w:t>Accessibility:</w:t>
      </w:r>
      <w:r>
        <w:rPr>
          <w:b/>
        </w:rPr>
        <w:t xml:space="preserve"> </w:t>
      </w:r>
      <w:r w:rsidR="00C11012">
        <w:t>T</w:t>
      </w:r>
      <w:r>
        <w:t xml:space="preserve">his indicator measures access using two dimensions, distance and time. The distance standard of less than 500 metres draws from the Sphere </w:t>
      </w:r>
      <w:r w:rsidR="00762E7F">
        <w:t xml:space="preserve">Project </w:t>
      </w:r>
      <w:r>
        <w:t>standards for access to a water point. The time standard of less than 30 minutes</w:t>
      </w:r>
      <w:r w:rsidR="00465B5B">
        <w:t xml:space="preserve"> to collect water (a return trip</w:t>
      </w:r>
      <w:r>
        <w:t>, including queuing time</w:t>
      </w:r>
      <w:r w:rsidR="00465B5B">
        <w:t>)</w:t>
      </w:r>
      <w:r>
        <w:t xml:space="preserve"> </w:t>
      </w:r>
      <w:r w:rsidR="0060198D">
        <w:t xml:space="preserve">for the target beneficiaries </w:t>
      </w:r>
      <w:r>
        <w:t>draws from the proposed new JMP monitoring framework</w:t>
      </w:r>
      <w:r w:rsidR="00762E7F">
        <w:t xml:space="preserve"> for the Sustainable Development Goals</w:t>
      </w:r>
      <w:r>
        <w:t xml:space="preserve">, which states that a basic level of service must ensure that water collection takes 30 minutes at most, including queuing. </w:t>
      </w:r>
      <w:r w:rsidR="00762E7F">
        <w:t>Given that this is a rural context, the framework proposes that equal to or greater than 50% of the population with access to water onsite would provide a clear indication that access to water is improving.</w:t>
      </w:r>
    </w:p>
    <w:p w14:paraId="7BA61202" w14:textId="00E807A6" w:rsidR="00372ACB" w:rsidRDefault="00372ACB" w:rsidP="001A7939">
      <w:r>
        <w:t xml:space="preserve">Access should be measured through a combination of focus group discussions and measurements of the distance between randomly chosen households and a </w:t>
      </w:r>
      <w:r w:rsidR="00915F68">
        <w:t xml:space="preserve">functioning </w:t>
      </w:r>
      <w:r>
        <w:t>water point.</w:t>
      </w:r>
      <w:r w:rsidR="00465B5B">
        <w:t xml:space="preserve"> Note that it is also important to check which water </w:t>
      </w:r>
      <w:r w:rsidR="00A14B07">
        <w:t>sources</w:t>
      </w:r>
      <w:r w:rsidR="00465B5B">
        <w:t xml:space="preserve"> are being used by the community</w:t>
      </w:r>
      <w:r w:rsidR="00A14B07">
        <w:t xml:space="preserve"> to collect drinking water in order</w:t>
      </w:r>
      <w:r w:rsidR="00465B5B">
        <w:t xml:space="preserve"> to confirm that water is being collected from the system’s water points and not another substitute (such as another system nearby or surface water).</w:t>
      </w:r>
    </w:p>
    <w:p w14:paraId="47502F5E" w14:textId="76690427" w:rsidR="00B062F1" w:rsidRPr="00B062F1" w:rsidRDefault="000C43C4" w:rsidP="001A7939">
      <w:r>
        <w:t>A word of caution. It is important to be clear on who benefits from ‘access’ when setting targets. T</w:t>
      </w:r>
      <w:r w:rsidR="00B062F1">
        <w:t xml:space="preserve">he </w:t>
      </w:r>
      <w:r w:rsidR="00B062F1" w:rsidRPr="00B062F1">
        <w:t xml:space="preserve">handbook </w:t>
      </w:r>
      <w:r w:rsidR="00B062F1" w:rsidRPr="00B062F1">
        <w:rPr>
          <w:i/>
          <w:noProof/>
        </w:rPr>
        <w:t>Realising The Human Rights To Water And Sanitation</w:t>
      </w:r>
      <w:r w:rsidR="00B062F1">
        <w:rPr>
          <w:i/>
          <w:noProof/>
        </w:rPr>
        <w:t xml:space="preserve"> </w:t>
      </w:r>
      <w:r w:rsidR="00B062F1">
        <w:rPr>
          <w:noProof/>
        </w:rPr>
        <w:t xml:space="preserve">clearly states that </w:t>
      </w:r>
      <w:r w:rsidR="009A1DFD">
        <w:t xml:space="preserve">water services should be accessible </w:t>
      </w:r>
      <w:r w:rsidR="009A1DFD" w:rsidRPr="0075642F">
        <w:t>to people when they</w:t>
      </w:r>
      <w:r w:rsidR="009A1DFD">
        <w:t xml:space="preserve"> </w:t>
      </w:r>
      <w:r w:rsidR="009A1DFD" w:rsidRPr="0075642F">
        <w:t>are at home, at work, at school, in public places and in places of</w:t>
      </w:r>
      <w:r w:rsidR="009A1DFD">
        <w:t xml:space="preserve"> </w:t>
      </w:r>
      <w:r w:rsidR="009A1DFD" w:rsidRPr="0075642F">
        <w:t>detention</w:t>
      </w:r>
      <w:r w:rsidR="009A1DFD">
        <w:t xml:space="preserve">. The design of a water supply service should </w:t>
      </w:r>
      <w:r>
        <w:t xml:space="preserve">therefore </w:t>
      </w:r>
      <w:r w:rsidR="009A1DFD">
        <w:t xml:space="preserve">be careful to </w:t>
      </w:r>
      <w:r w:rsidR="009734B3">
        <w:t>consider whether</w:t>
      </w:r>
      <w:r w:rsidR="009A1DFD">
        <w:t xml:space="preserve"> local institutions, such as market places and schools</w:t>
      </w:r>
      <w:r w:rsidR="009734B3">
        <w:t>, should be included in the coverage of the water system.</w:t>
      </w:r>
    </w:p>
    <w:p w14:paraId="46A2AA5A" w14:textId="76516155" w:rsidR="001A7939" w:rsidRDefault="001A7939" w:rsidP="001A7939">
      <w:r w:rsidRPr="00F4318B">
        <w:rPr>
          <w:b/>
        </w:rPr>
        <w:t>Affordability:</w:t>
      </w:r>
      <w:r w:rsidR="008C2BC1">
        <w:t xml:space="preserve"> </w:t>
      </w:r>
      <w:r>
        <w:t xml:space="preserve">The service framework above proposes a practical approach to measure affordability. A qualitative measure </w:t>
      </w:r>
      <w:r w:rsidR="008C2BC1">
        <w:t>can be used</w:t>
      </w:r>
      <w:r>
        <w:t xml:space="preserve">, </w:t>
      </w:r>
      <w:r>
        <w:lastRenderedPageBreak/>
        <w:t>whereby consumers rate their views on the price of the water tariff</w:t>
      </w:r>
      <w:r w:rsidR="008C2BC1">
        <w:t xml:space="preserve"> or community levy</w:t>
      </w:r>
      <w:r>
        <w:t xml:space="preserve">. Use of a Likert scale with a 1 – 5 rating system is recommended (1 = it is expensive, 5 = it is cheap). </w:t>
      </w:r>
      <w:r w:rsidR="008C2BC1">
        <w:t>Note that it is important to examine any variability in consumer views on affordability, as any variability may indicate that some members of the community may not be able to afford to purchase the same amount of water per person as other households.</w:t>
      </w:r>
      <w:r w:rsidR="00EB44DA">
        <w:t xml:space="preserve"> Ideally, i</w:t>
      </w:r>
      <w:r w:rsidR="006E1D21">
        <w:t>nformation on household income is available and can be used to determine any significant variability in household income and</w:t>
      </w:r>
      <w:r w:rsidR="00EB44DA">
        <w:t xml:space="preserve"> to test</w:t>
      </w:r>
      <w:r w:rsidR="006E1D21">
        <w:t xml:space="preserve"> any correlation with views on affordability.</w:t>
      </w:r>
      <w:r w:rsidR="008C2BC1">
        <w:t xml:space="preserve"> Data should </w:t>
      </w:r>
      <w:r w:rsidR="006E1D21">
        <w:t xml:space="preserve">also </w:t>
      </w:r>
      <w:r w:rsidR="008C2BC1">
        <w:t xml:space="preserve">be checked against any questions on </w:t>
      </w:r>
      <w:r w:rsidR="006E1D21">
        <w:t>what sources of water community members are collecting water from, and if they use water from different sources for different purposes</w:t>
      </w:r>
      <w:r w:rsidR="008C2BC1">
        <w:t xml:space="preserve">, to </w:t>
      </w:r>
      <w:r w:rsidR="00911E5F">
        <w:t>determine</w:t>
      </w:r>
      <w:r w:rsidR="008C2BC1">
        <w:t xml:space="preserve"> whether the tariff or </w:t>
      </w:r>
      <w:r w:rsidR="00553215">
        <w:t>levy</w:t>
      </w:r>
      <w:r w:rsidR="008C2BC1">
        <w:t xml:space="preserve"> </w:t>
      </w:r>
      <w:r w:rsidR="003C6D88">
        <w:t>causes</w:t>
      </w:r>
      <w:r w:rsidR="008C2BC1">
        <w:t xml:space="preserve"> some community members to use a cheaper </w:t>
      </w:r>
      <w:r w:rsidR="00A14B07">
        <w:t>substitute</w:t>
      </w:r>
      <w:r w:rsidR="008C2BC1">
        <w:t>, such as a local river.</w:t>
      </w:r>
      <w:r w:rsidR="006E1D21">
        <w:t xml:space="preserve"> </w:t>
      </w:r>
    </w:p>
    <w:p w14:paraId="4125C0A1" w14:textId="0960E7A8" w:rsidR="001A7939" w:rsidRPr="008C2BC1" w:rsidRDefault="001A7939" w:rsidP="001A7939">
      <w:r w:rsidRPr="00F4318B">
        <w:rPr>
          <w:b/>
        </w:rPr>
        <w:t>Reliability:</w:t>
      </w:r>
      <w:r w:rsidR="00C11012">
        <w:t xml:space="preserve"> </w:t>
      </w:r>
      <w:r w:rsidR="00C11012" w:rsidRPr="006E1D21">
        <w:t>T</w:t>
      </w:r>
      <w:r w:rsidRPr="006E1D21">
        <w:t>he proposed new JMP monitoring framework</w:t>
      </w:r>
      <w:r>
        <w:t xml:space="preserve"> requires that a ‘safely managed’ service</w:t>
      </w:r>
      <w:r w:rsidR="00CA6262">
        <w:t xml:space="preserve"> prevents breakdowns from lasting for more than</w:t>
      </w:r>
      <w:r>
        <w:t xml:space="preserve"> </w:t>
      </w:r>
      <w:r w:rsidR="00CA6262">
        <w:t>two</w:t>
      </w:r>
      <w:r>
        <w:t xml:space="preserve"> days. This has been adopted as one of the measures of the reliability of a service. </w:t>
      </w:r>
      <w:r w:rsidR="00482157">
        <w:t>Measurement should include t</w:t>
      </w:r>
      <w:r>
        <w:t>he views of consumers and the service provider on the duration of the last breakdown. The second indicator requires a spot check of every water point in a system to check whether water is freely flowing from every water point</w:t>
      </w:r>
      <w:r w:rsidR="00762E7F">
        <w:t xml:space="preserve"> (to be conducted during monitoring and evaluation activities)</w:t>
      </w:r>
      <w:r>
        <w:t xml:space="preserve">. The two combined will provide reliable information on the </w:t>
      </w:r>
      <w:r w:rsidRPr="008C2BC1">
        <w:t xml:space="preserve">functionality of the system. </w:t>
      </w:r>
    </w:p>
    <w:p w14:paraId="3A2A78A3" w14:textId="1C616212" w:rsidR="001A7939" w:rsidRPr="008C2BC1" w:rsidRDefault="001A7939" w:rsidP="001A7939">
      <w:r w:rsidRPr="008C2BC1">
        <w:rPr>
          <w:b/>
        </w:rPr>
        <w:t xml:space="preserve">Source: </w:t>
      </w:r>
      <w:r w:rsidR="00C11012">
        <w:t>B</w:t>
      </w:r>
      <w:r w:rsidRPr="008C2BC1">
        <w:t>ased on the current JMP definitions of improved sources, this indicator</w:t>
      </w:r>
      <w:r w:rsidR="00C11012">
        <w:t xml:space="preserve"> provides relevant information to the government for JMP data reporting. Two standards are proposed</w:t>
      </w:r>
      <w:r w:rsidRPr="008C2BC1">
        <w:t xml:space="preserve">. A basic service would represent a source of water that sits </w:t>
      </w:r>
      <w:r w:rsidR="00395410" w:rsidRPr="008C2BC1">
        <w:t>with</w:t>
      </w:r>
      <w:r w:rsidRPr="008C2BC1">
        <w:t xml:space="preserve">in the JMP ‘other improved’ </w:t>
      </w:r>
      <w:r w:rsidRPr="008C2BC1">
        <w:lastRenderedPageBreak/>
        <w:t>category. Piped water on premises is adopted as a standard for an improving level of service, with the assumption that this is the highest service standard that government should be seeking to achieve.</w:t>
      </w:r>
      <w:r w:rsidR="00762E7F" w:rsidRPr="008C2BC1">
        <w:t xml:space="preserve"> Given that this is a rural context, the framework proposes that equal to or greater than 50% of the population with access to water onsite would provide a clear indication that access to water is improving.</w:t>
      </w:r>
      <w:r w:rsidR="00372ACB" w:rsidRPr="008C2BC1">
        <w:t xml:space="preserve"> </w:t>
      </w:r>
    </w:p>
    <w:p w14:paraId="2913365C" w14:textId="522DC804" w:rsidR="00C11012" w:rsidRDefault="001A7939" w:rsidP="008C2BC1">
      <w:pPr>
        <w:rPr>
          <w:lang w:val="en-US"/>
        </w:rPr>
      </w:pPr>
      <w:r w:rsidRPr="00516DB8">
        <w:rPr>
          <w:b/>
        </w:rPr>
        <w:t xml:space="preserve">Water Quality: </w:t>
      </w:r>
      <w:r w:rsidR="00C11012">
        <w:t>T</w:t>
      </w:r>
      <w:r>
        <w:t xml:space="preserve">his indicator reflects the need to ensure that the water supplied is safe to drink. A basic level of service should ensure that the water meets the WHO guidelines for </w:t>
      </w:r>
      <w:r w:rsidRPr="00E613B7">
        <w:rPr>
          <w:lang w:val="en-US"/>
        </w:rPr>
        <w:t>E.coli,</w:t>
      </w:r>
      <w:r>
        <w:rPr>
          <w:lang w:val="en-US"/>
        </w:rPr>
        <w:t xml:space="preserve"> fluoride a</w:t>
      </w:r>
      <w:r w:rsidRPr="00E613B7">
        <w:rPr>
          <w:lang w:val="en-US"/>
        </w:rPr>
        <w:t>nd arsenic</w:t>
      </w:r>
      <w:r>
        <w:rPr>
          <w:lang w:val="en-US"/>
        </w:rPr>
        <w:t>. These particular aspects of water quality are singled out because they are proposed as measures of water safety by the post-2015 JMP monitoring framework. National regulations may be more comprehensive and an improving level of service should</w:t>
      </w:r>
      <w:r w:rsidR="00482157">
        <w:rPr>
          <w:lang w:val="en-US"/>
        </w:rPr>
        <w:t xml:space="preserve"> progressively</w:t>
      </w:r>
      <w:r>
        <w:rPr>
          <w:lang w:val="en-US"/>
        </w:rPr>
        <w:t xml:space="preserve"> satisfy national regulations.</w:t>
      </w:r>
    </w:p>
    <w:p w14:paraId="21F00C3D" w14:textId="77777777" w:rsidR="00963509" w:rsidRDefault="00A74D06" w:rsidP="008C2BC1">
      <w:pPr>
        <w:rPr>
          <w:lang w:val="en-US"/>
        </w:rPr>
      </w:pPr>
      <w:r>
        <w:rPr>
          <w:lang w:val="en-US"/>
        </w:rPr>
        <w:t>Note that testing of the water source should be conducted during the planning stages for the new system, before construction begins. This will identify any quality issues (such as high fluoride levels) and further provides a baseline against which to monitor water quality over time. Following the construction of the new system, monitoring activities should regularly test water at both the source and at water points to check whether water quality is being maintained and if any contaminants are entering the system along the pipeline. Ideally, these testing procedures are detailed in a water safety plan which should be prepared in cooperation with the local government. Such a plan should clearly define which agency is responsible for ongoing water tests and general monitoring activities.</w:t>
      </w:r>
    </w:p>
    <w:p w14:paraId="11123E81" w14:textId="77777777" w:rsidR="00963509" w:rsidRDefault="00963509" w:rsidP="008C2BC1">
      <w:pPr>
        <w:rPr>
          <w:lang w:val="en-US"/>
        </w:rPr>
      </w:pPr>
    </w:p>
    <w:p w14:paraId="03F49323" w14:textId="77777777" w:rsidR="00963509" w:rsidRDefault="00963509" w:rsidP="008C2BC1">
      <w:pPr>
        <w:rPr>
          <w:lang w:val="en-US"/>
        </w:rPr>
      </w:pPr>
    </w:p>
    <w:p w14:paraId="58BD6900" w14:textId="77777777" w:rsidR="00963509" w:rsidRDefault="00963509" w:rsidP="008C2BC1">
      <w:pPr>
        <w:rPr>
          <w:lang w:val="en-US"/>
        </w:rPr>
      </w:pPr>
    </w:p>
    <w:p w14:paraId="7572032F" w14:textId="77777777" w:rsidR="00963509" w:rsidRDefault="00963509" w:rsidP="008C2BC1">
      <w:pPr>
        <w:rPr>
          <w:lang w:val="en-US"/>
        </w:rPr>
      </w:pPr>
    </w:p>
    <w:p w14:paraId="31F10847" w14:textId="77777777" w:rsidR="00963509" w:rsidRDefault="00963509" w:rsidP="008C2BC1">
      <w:pPr>
        <w:rPr>
          <w:lang w:val="en-US"/>
        </w:rPr>
      </w:pPr>
    </w:p>
    <w:p w14:paraId="06D75C58" w14:textId="77777777" w:rsidR="00963509" w:rsidRDefault="00963509" w:rsidP="008C2BC1">
      <w:pPr>
        <w:rPr>
          <w:lang w:val="en-US"/>
        </w:rPr>
      </w:pPr>
    </w:p>
    <w:p w14:paraId="0EFE5990" w14:textId="77777777" w:rsidR="00963509" w:rsidRDefault="00963509" w:rsidP="008C2BC1">
      <w:pPr>
        <w:rPr>
          <w:lang w:val="en-US"/>
        </w:rPr>
      </w:pPr>
    </w:p>
    <w:p w14:paraId="4EBEA8A0" w14:textId="77777777" w:rsidR="00963509" w:rsidRDefault="00963509" w:rsidP="008C2BC1">
      <w:pPr>
        <w:rPr>
          <w:lang w:val="en-US"/>
        </w:rPr>
      </w:pPr>
    </w:p>
    <w:p w14:paraId="0357EEA0" w14:textId="77777777" w:rsidR="00963509" w:rsidRDefault="00963509" w:rsidP="008C2BC1">
      <w:pPr>
        <w:rPr>
          <w:lang w:val="en-US"/>
        </w:rPr>
      </w:pPr>
    </w:p>
    <w:p w14:paraId="5F6A2433" w14:textId="77777777" w:rsidR="00963509" w:rsidRDefault="00963509" w:rsidP="008C2BC1">
      <w:pPr>
        <w:rPr>
          <w:lang w:val="en-US"/>
        </w:rPr>
      </w:pPr>
    </w:p>
    <w:p w14:paraId="05FB9B96" w14:textId="77777777" w:rsidR="00963509" w:rsidRDefault="00963509" w:rsidP="008C2BC1">
      <w:pPr>
        <w:rPr>
          <w:lang w:val="en-US"/>
        </w:rPr>
      </w:pPr>
    </w:p>
    <w:p w14:paraId="208C81EA" w14:textId="77777777" w:rsidR="00963509" w:rsidRDefault="00963509" w:rsidP="008C2BC1">
      <w:pPr>
        <w:rPr>
          <w:lang w:val="en-US"/>
        </w:rPr>
      </w:pPr>
    </w:p>
    <w:p w14:paraId="4960BF3B" w14:textId="77777777" w:rsidR="00963509" w:rsidRDefault="00963509" w:rsidP="008C2BC1">
      <w:pPr>
        <w:rPr>
          <w:lang w:val="en-US"/>
        </w:rPr>
      </w:pPr>
    </w:p>
    <w:p w14:paraId="1F951061" w14:textId="77777777" w:rsidR="00963509" w:rsidRDefault="00963509" w:rsidP="008C2BC1">
      <w:pPr>
        <w:rPr>
          <w:lang w:val="en-US"/>
        </w:rPr>
      </w:pPr>
    </w:p>
    <w:p w14:paraId="34A219D4" w14:textId="77777777" w:rsidR="00963509" w:rsidRDefault="00963509" w:rsidP="008C2BC1">
      <w:pPr>
        <w:rPr>
          <w:lang w:val="en-US"/>
        </w:rPr>
      </w:pPr>
    </w:p>
    <w:p w14:paraId="49C5A385" w14:textId="77777777" w:rsidR="00963509" w:rsidRDefault="00963509" w:rsidP="008C2BC1">
      <w:pPr>
        <w:rPr>
          <w:lang w:val="en-US"/>
        </w:rPr>
      </w:pPr>
    </w:p>
    <w:p w14:paraId="3E1F066D" w14:textId="77777777" w:rsidR="00963509" w:rsidRDefault="00963509" w:rsidP="008C2BC1">
      <w:pPr>
        <w:rPr>
          <w:lang w:val="en-US"/>
        </w:rPr>
      </w:pPr>
    </w:p>
    <w:p w14:paraId="474646A9" w14:textId="77777777" w:rsidR="00963509" w:rsidRDefault="00963509" w:rsidP="008C2BC1">
      <w:pPr>
        <w:rPr>
          <w:lang w:val="en-US"/>
        </w:rPr>
      </w:pPr>
    </w:p>
    <w:p w14:paraId="6E118AAC" w14:textId="77777777" w:rsidR="00963509" w:rsidRDefault="00963509" w:rsidP="008C2BC1">
      <w:pPr>
        <w:rPr>
          <w:lang w:val="en-US"/>
        </w:rPr>
      </w:pPr>
    </w:p>
    <w:p w14:paraId="3201DB0D" w14:textId="77777777" w:rsidR="00963509" w:rsidRDefault="00963509" w:rsidP="008C2BC1">
      <w:pPr>
        <w:rPr>
          <w:lang w:val="en-US"/>
        </w:rPr>
      </w:pPr>
    </w:p>
    <w:p w14:paraId="0C3D513A" w14:textId="77777777" w:rsidR="00963509" w:rsidRDefault="00963509" w:rsidP="008C2BC1">
      <w:pPr>
        <w:rPr>
          <w:lang w:val="en-US"/>
        </w:rPr>
      </w:pPr>
    </w:p>
    <w:p w14:paraId="2761C6D5" w14:textId="77777777" w:rsidR="00963509" w:rsidRDefault="00963509" w:rsidP="008C2BC1">
      <w:pPr>
        <w:rPr>
          <w:lang w:val="en-US"/>
        </w:rPr>
      </w:pPr>
    </w:p>
    <w:p w14:paraId="6D15AC06" w14:textId="77777777" w:rsidR="00963509" w:rsidRDefault="00963509" w:rsidP="008C2BC1">
      <w:pPr>
        <w:rPr>
          <w:lang w:val="en-US"/>
        </w:rPr>
      </w:pPr>
    </w:p>
    <w:p w14:paraId="7375496E" w14:textId="77777777" w:rsidR="00963509" w:rsidRDefault="00963509" w:rsidP="008C2BC1">
      <w:pPr>
        <w:rPr>
          <w:lang w:val="en-US"/>
        </w:rPr>
      </w:pPr>
    </w:p>
    <w:p w14:paraId="758EE67C" w14:textId="77777777" w:rsidR="00963509" w:rsidRDefault="00963509" w:rsidP="008C2BC1">
      <w:pPr>
        <w:rPr>
          <w:lang w:val="en-US"/>
        </w:rPr>
      </w:pPr>
    </w:p>
    <w:p w14:paraId="062D280C" w14:textId="77777777" w:rsidR="00963509" w:rsidRDefault="00963509" w:rsidP="008C2BC1">
      <w:pPr>
        <w:rPr>
          <w:lang w:val="en-US"/>
        </w:rPr>
      </w:pPr>
    </w:p>
    <w:p w14:paraId="0D6617B9" w14:textId="77777777" w:rsidR="00963509" w:rsidRDefault="00963509" w:rsidP="008C2BC1">
      <w:pPr>
        <w:rPr>
          <w:lang w:val="en-US"/>
        </w:rPr>
      </w:pPr>
    </w:p>
    <w:p w14:paraId="20A8D300" w14:textId="77777777" w:rsidR="00963509" w:rsidRDefault="00963509" w:rsidP="008C2BC1">
      <w:pPr>
        <w:rPr>
          <w:lang w:val="en-US"/>
        </w:rPr>
        <w:sectPr w:rsidR="00963509" w:rsidSect="00963509">
          <w:type w:val="continuous"/>
          <w:pgSz w:w="11900" w:h="16840"/>
          <w:pgMar w:top="1440" w:right="1080" w:bottom="1440" w:left="1080" w:header="708" w:footer="708" w:gutter="0"/>
          <w:cols w:num="2" w:space="708"/>
          <w:docGrid w:linePitch="360"/>
        </w:sectPr>
      </w:pPr>
    </w:p>
    <w:p w14:paraId="153E500D" w14:textId="275278C6" w:rsidR="00A74D06" w:rsidRDefault="00A74D06" w:rsidP="008C2BC1">
      <w:pPr>
        <w:rPr>
          <w:lang w:val="en-US"/>
        </w:rPr>
      </w:pPr>
    </w:p>
    <w:p w14:paraId="7D92846B" w14:textId="77777777" w:rsidR="00C11012" w:rsidRDefault="00C11012" w:rsidP="00C11012">
      <w:pPr>
        <w:sectPr w:rsidR="00C11012" w:rsidSect="00963509">
          <w:type w:val="continuous"/>
          <w:pgSz w:w="11900" w:h="16840"/>
          <w:pgMar w:top="1440" w:right="1080" w:bottom="1440" w:left="1080" w:header="708" w:footer="708" w:gutter="0"/>
          <w:cols w:space="708"/>
          <w:docGrid w:linePitch="360"/>
        </w:sectPr>
      </w:pPr>
    </w:p>
    <w:p w14:paraId="370F8F10" w14:textId="32883D36" w:rsidR="000A56A0" w:rsidRPr="00CE5141" w:rsidRDefault="000A56A0" w:rsidP="00A971DC">
      <w:pPr>
        <w:pStyle w:val="Heading1"/>
      </w:pPr>
      <w:bookmarkStart w:id="10" w:name="_Toc420755109"/>
      <w:r w:rsidRPr="00CE5141">
        <w:lastRenderedPageBreak/>
        <w:t>An Enabling Environment</w:t>
      </w:r>
      <w:bookmarkEnd w:id="10"/>
    </w:p>
    <w:p w14:paraId="6AF025C3" w14:textId="3C43223B" w:rsidR="000A56A0" w:rsidRPr="00CE5141" w:rsidRDefault="0070546D" w:rsidP="00A971DC">
      <w:pPr>
        <w:pStyle w:val="Heading3"/>
        <w:pBdr>
          <w:bottom w:val="single" w:sz="4" w:space="1" w:color="auto"/>
        </w:pBdr>
        <w:spacing w:before="120" w:after="120" w:line="360" w:lineRule="auto"/>
      </w:pPr>
      <w:r>
        <w:rPr>
          <w:rStyle w:val="SubtleEmphasis"/>
        </w:rPr>
        <w:t>Condition</w:t>
      </w:r>
      <w:r w:rsidR="009A2C5C" w:rsidRPr="00A971DC">
        <w:rPr>
          <w:rStyle w:val="SubtleEmphasis"/>
        </w:rPr>
        <w:t>: There is an enabling environment for rural water services.</w:t>
      </w:r>
    </w:p>
    <w:p w14:paraId="0B2178FF" w14:textId="77777777" w:rsidR="00221ED9" w:rsidRDefault="00221ED9" w:rsidP="005C3194">
      <w:pPr>
        <w:sectPr w:rsidR="00221ED9" w:rsidSect="00C11012">
          <w:pgSz w:w="11900" w:h="16840"/>
          <w:pgMar w:top="1440" w:right="1080" w:bottom="1440" w:left="1080" w:header="708" w:footer="708" w:gutter="0"/>
          <w:cols w:space="708"/>
          <w:docGrid w:linePitch="360"/>
        </w:sectPr>
      </w:pPr>
    </w:p>
    <w:p w14:paraId="3A7CC45B" w14:textId="2BFB5971" w:rsidR="00D2758F" w:rsidRDefault="00375D41" w:rsidP="00221ED9">
      <w:r>
        <w:lastRenderedPageBreak/>
        <w:t>There is a growing consensus amongst development banks, NGOS and academia that an ‘enabling environment’ has an important influence on sustainability. This environment is created by n</w:t>
      </w:r>
      <w:r w:rsidR="00221ED9">
        <w:t>ational and local government</w:t>
      </w:r>
      <w:r>
        <w:t xml:space="preserve"> agencies, whose financial and political decisions have a significant influence over the conditions within which rural water supply services are delivered</w:t>
      </w:r>
      <w:r w:rsidR="00D2758F">
        <w:t xml:space="preserve">. </w:t>
      </w:r>
    </w:p>
    <w:p w14:paraId="4D6B10D2" w14:textId="24013982" w:rsidR="00B14141" w:rsidRDefault="00D2758F" w:rsidP="005C3194">
      <w:r>
        <w:t>In practice, t</w:t>
      </w:r>
      <w:r w:rsidR="00221ED9">
        <w:t xml:space="preserve">he ‘enabling environment’ for water supply </w:t>
      </w:r>
      <w:r>
        <w:t xml:space="preserve">is influenced </w:t>
      </w:r>
      <w:r w:rsidR="00221ED9">
        <w:t>through policies, plans and legislation that define the roles of the various actors in the sector</w:t>
      </w:r>
      <w:r w:rsidR="00A971DC">
        <w:t>. The environment is further characterised by</w:t>
      </w:r>
      <w:r w:rsidR="00221ED9">
        <w:t xml:space="preserve"> the priorities for public financing </w:t>
      </w:r>
      <w:r w:rsidR="00A971DC">
        <w:t>at national and local levels</w:t>
      </w:r>
      <w:r w:rsidR="00214E4C">
        <w:t>;</w:t>
      </w:r>
      <w:r w:rsidR="00A971DC">
        <w:t xml:space="preserve"> </w:t>
      </w:r>
      <w:r w:rsidR="00221ED9">
        <w:t>the institutional capacity of national and local government agencies</w:t>
      </w:r>
      <w:r w:rsidR="00214E4C">
        <w:t xml:space="preserve">; and the degree of technical and financial </w:t>
      </w:r>
      <w:r w:rsidR="00221ED9">
        <w:t xml:space="preserve">support </w:t>
      </w:r>
      <w:r w:rsidR="00214E4C">
        <w:t>the government</w:t>
      </w:r>
      <w:r w:rsidR="00221ED9">
        <w:t xml:space="preserve"> can offer to service providers</w:t>
      </w:r>
      <w:r>
        <w:t>, such as community management committees</w:t>
      </w:r>
      <w:r w:rsidR="00221ED9">
        <w:t>.</w:t>
      </w:r>
    </w:p>
    <w:p w14:paraId="1ED77801" w14:textId="2975D93C" w:rsidR="00DB6FC4" w:rsidRDefault="00587E4C" w:rsidP="005C3194">
      <w:r>
        <w:lastRenderedPageBreak/>
        <w:t xml:space="preserve">In the case of Rwanda, there are many positive conditions supporting rural water service delivery. For example, a range of service provider models are promoted, allowing for flexibility in the face of performance issues. </w:t>
      </w:r>
      <w:r w:rsidR="0070546D">
        <w:t xml:space="preserve">Cost sharing arrangements have been put in place with service providers, providing financial support when major repairs are needed.  </w:t>
      </w:r>
      <w:r w:rsidR="00B14141">
        <w:t>P</w:t>
      </w:r>
      <w:r w:rsidR="0070546D">
        <w:t xml:space="preserve">erformance targets have also been set, </w:t>
      </w:r>
      <w:r w:rsidR="00D2758F">
        <w:t xml:space="preserve">covering access to water, functionality </w:t>
      </w:r>
      <w:r w:rsidR="006709AC">
        <w:t>and cost</w:t>
      </w:r>
      <w:r w:rsidR="00D2758F">
        <w:t>-recovery</w:t>
      </w:r>
      <w:r w:rsidR="0070546D">
        <w:t>.</w:t>
      </w:r>
    </w:p>
    <w:p w14:paraId="65D1AB9A" w14:textId="7A97B5C0" w:rsidR="00B14141" w:rsidRDefault="00B14141" w:rsidP="005C3194">
      <w:r>
        <w:t>The significance of government actors has been underlined by the UN Special Rappo</w:t>
      </w:r>
      <w:r w:rsidR="009E6651">
        <w:t>r</w:t>
      </w:r>
      <w:r>
        <w:t>teur on the Human Rights to Water and Sanitation, who has identified governme</w:t>
      </w:r>
      <w:r w:rsidR="00375D41">
        <w:t xml:space="preserve">nt </w:t>
      </w:r>
      <w:r>
        <w:t xml:space="preserve">as the duty bearer for the right to water. This duty comes with specific responsibilities that </w:t>
      </w:r>
      <w:r w:rsidR="006709AC">
        <w:t>concern</w:t>
      </w:r>
      <w:r>
        <w:t xml:space="preserve"> the extent of official support for an enabling environment</w:t>
      </w:r>
      <w:r w:rsidR="00D73E0D">
        <w:t xml:space="preserve"> (refer Figure </w:t>
      </w:r>
      <w:r w:rsidR="00D73E0D" w:rsidRPr="00D2758F">
        <w:rPr>
          <w:highlight w:val="yellow"/>
        </w:rPr>
        <w:t>X</w:t>
      </w:r>
      <w:r w:rsidR="00D73E0D">
        <w:t xml:space="preserve"> below)</w:t>
      </w:r>
      <w:r>
        <w:t>.</w:t>
      </w:r>
    </w:p>
    <w:p w14:paraId="64A31F50" w14:textId="77777777" w:rsidR="00375D41" w:rsidRDefault="00375D41" w:rsidP="005C3194"/>
    <w:p w14:paraId="60F5230B" w14:textId="77777777" w:rsidR="00375D41" w:rsidRDefault="00375D41" w:rsidP="005C3194">
      <w:pPr>
        <w:sectPr w:rsidR="00375D41" w:rsidSect="00221ED9">
          <w:type w:val="continuous"/>
          <w:pgSz w:w="11900" w:h="16840"/>
          <w:pgMar w:top="1440" w:right="1080" w:bottom="1440" w:left="1080" w:header="708" w:footer="708" w:gutter="0"/>
          <w:cols w:num="2" w:space="708"/>
          <w:docGrid w:linePitch="360"/>
        </w:sectPr>
      </w:pPr>
    </w:p>
    <w:p w14:paraId="10894D7C" w14:textId="77777777" w:rsidR="00DB6FC4" w:rsidRDefault="00DB6FC4" w:rsidP="00DB6FC4">
      <w:r>
        <w:rPr>
          <w:noProof/>
          <w:lang w:val="en-GB" w:eastAsia="en-GB"/>
        </w:rPr>
        <w:lastRenderedPageBreak/>
        <w:drawing>
          <wp:inline distT="0" distB="0" distL="0" distR="0" wp14:anchorId="684472CC" wp14:editId="555D4A68">
            <wp:extent cx="6092042" cy="2529444"/>
            <wp:effectExtent l="95250" t="57150" r="9969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3701185" w14:textId="4AB8A9AD" w:rsidR="00DB6FC4" w:rsidRDefault="00DB6FC4" w:rsidP="005C3194">
      <w:pPr>
        <w:rPr>
          <w:b/>
        </w:rPr>
      </w:pPr>
      <w:r w:rsidRPr="00DB6FC4">
        <w:rPr>
          <w:b/>
        </w:rPr>
        <w:t xml:space="preserve">Figure </w:t>
      </w:r>
      <w:r w:rsidRPr="00DB6FC4">
        <w:rPr>
          <w:b/>
          <w:highlight w:val="yellow"/>
        </w:rPr>
        <w:t>X</w:t>
      </w:r>
      <w:r w:rsidRPr="00DB6FC4">
        <w:rPr>
          <w:b/>
        </w:rPr>
        <w:t xml:space="preserve">. Potential roles of national and local government in support of rural water </w:t>
      </w:r>
      <w:r>
        <w:rPr>
          <w:b/>
        </w:rPr>
        <w:t xml:space="preserve">supply </w:t>
      </w:r>
      <w:r w:rsidRPr="00DB6FC4">
        <w:rPr>
          <w:b/>
        </w:rPr>
        <w:t>services, adapted from Lockwood and Smits, 2011 and de Albuquerque, 2014.</w:t>
      </w:r>
    </w:p>
    <w:p w14:paraId="075DDA55" w14:textId="77777777" w:rsidR="00587E4C" w:rsidRDefault="00587E4C" w:rsidP="007F7D13">
      <w:pPr>
        <w:pStyle w:val="Heading1"/>
        <w:sectPr w:rsidR="00587E4C" w:rsidSect="00DB6FC4">
          <w:type w:val="continuous"/>
          <w:pgSz w:w="11900" w:h="16840"/>
          <w:pgMar w:top="1440" w:right="1080" w:bottom="1440" w:left="1080" w:header="708" w:footer="708" w:gutter="0"/>
          <w:cols w:space="708"/>
          <w:docGrid w:linePitch="360"/>
        </w:sectPr>
      </w:pPr>
    </w:p>
    <w:p w14:paraId="3C90683C" w14:textId="33D2D9B8" w:rsidR="0070546D" w:rsidRPr="00D2758F" w:rsidRDefault="000318DC" w:rsidP="00587E4C">
      <w:r>
        <w:lastRenderedPageBreak/>
        <w:t>H</w:t>
      </w:r>
      <w:r w:rsidR="00587E4C">
        <w:t xml:space="preserve">ow can a Red Cross Society assess whether the right pieces are in place? The concept can seem very intangible, however in practice there are </w:t>
      </w:r>
      <w:r w:rsidR="00587E4C">
        <w:lastRenderedPageBreak/>
        <w:t xml:space="preserve">several criteria or issues that a Red Cross Society can review when planning a water supply program. </w:t>
      </w:r>
    </w:p>
    <w:p w14:paraId="70B76474" w14:textId="77777777" w:rsidR="00587E4C" w:rsidRDefault="00587E4C" w:rsidP="00CA0CD6">
      <w:pPr>
        <w:spacing w:after="120"/>
        <w:rPr>
          <w:b/>
          <w:color w:val="C00000" w:themeColor="accent6"/>
        </w:rPr>
      </w:pPr>
      <w:r>
        <w:rPr>
          <w:b/>
          <w:color w:val="C00000" w:themeColor="accent6"/>
        </w:rPr>
        <w:lastRenderedPageBreak/>
        <w:t xml:space="preserve">National Government: </w:t>
      </w:r>
    </w:p>
    <w:p w14:paraId="4695B7B1" w14:textId="3FBDAE7A" w:rsidR="00587E4C" w:rsidRPr="00DA2C39" w:rsidRDefault="00587E4C" w:rsidP="00587E4C">
      <w:pPr>
        <w:pStyle w:val="ListParagraph"/>
        <w:numPr>
          <w:ilvl w:val="0"/>
          <w:numId w:val="1"/>
        </w:numPr>
        <w:spacing w:after="120"/>
        <w:ind w:left="446"/>
        <w:contextualSpacing w:val="0"/>
        <w:rPr>
          <w:color w:val="auto"/>
        </w:rPr>
      </w:pPr>
      <w:r>
        <w:rPr>
          <w:color w:val="auto"/>
        </w:rPr>
        <w:t>Is there</w:t>
      </w:r>
      <w:r w:rsidRPr="00DA2C39">
        <w:rPr>
          <w:color w:val="auto"/>
        </w:rPr>
        <w:t xml:space="preserve"> a national policy </w:t>
      </w:r>
      <w:r>
        <w:rPr>
          <w:color w:val="auto"/>
        </w:rPr>
        <w:t xml:space="preserve">in place </w:t>
      </w:r>
      <w:r w:rsidRPr="00DA2C39">
        <w:rPr>
          <w:color w:val="auto"/>
        </w:rPr>
        <w:t xml:space="preserve">for water supply? </w:t>
      </w:r>
      <w:r w:rsidR="007969ED">
        <w:rPr>
          <w:color w:val="auto"/>
        </w:rPr>
        <w:t>If so, does the policy differentiate between urban and rural water supply?</w:t>
      </w:r>
    </w:p>
    <w:p w14:paraId="78B4DD62" w14:textId="4FF1212D" w:rsidR="00587E4C" w:rsidRPr="00DA2C39" w:rsidRDefault="00587E4C" w:rsidP="00587E4C">
      <w:pPr>
        <w:pStyle w:val="ListParagraph"/>
        <w:numPr>
          <w:ilvl w:val="0"/>
          <w:numId w:val="1"/>
        </w:numPr>
        <w:spacing w:after="120"/>
        <w:ind w:left="446"/>
        <w:contextualSpacing w:val="0"/>
        <w:rPr>
          <w:color w:val="auto"/>
        </w:rPr>
      </w:pPr>
      <w:r w:rsidRPr="00DA2C39">
        <w:rPr>
          <w:color w:val="auto"/>
        </w:rPr>
        <w:t xml:space="preserve">Have performance targets been set for the rural water sector? </w:t>
      </w:r>
      <w:r w:rsidR="007969ED">
        <w:rPr>
          <w:color w:val="auto"/>
        </w:rPr>
        <w:t>Are they measurable and which government agency is responsible for monitoring the targets?</w:t>
      </w:r>
    </w:p>
    <w:p w14:paraId="72620FB7" w14:textId="367E792A" w:rsidR="007969ED" w:rsidRDefault="007969ED" w:rsidP="00587E4C">
      <w:pPr>
        <w:pStyle w:val="ListParagraph"/>
        <w:numPr>
          <w:ilvl w:val="0"/>
          <w:numId w:val="1"/>
        </w:numPr>
        <w:spacing w:after="120"/>
        <w:ind w:left="446"/>
        <w:contextualSpacing w:val="0"/>
        <w:rPr>
          <w:color w:val="auto"/>
        </w:rPr>
      </w:pPr>
      <w:r>
        <w:rPr>
          <w:color w:val="auto"/>
        </w:rPr>
        <w:t>Is there a Water Act that clearly defines the roles and responsibilities of different agencies involved in water supply services?</w:t>
      </w:r>
    </w:p>
    <w:p w14:paraId="4D9E01DF" w14:textId="33E580EA" w:rsidR="00587E4C" w:rsidRPr="00DA2C39" w:rsidRDefault="007969ED" w:rsidP="00587E4C">
      <w:pPr>
        <w:pStyle w:val="ListParagraph"/>
        <w:numPr>
          <w:ilvl w:val="0"/>
          <w:numId w:val="1"/>
        </w:numPr>
        <w:spacing w:after="120"/>
        <w:ind w:left="446"/>
        <w:contextualSpacing w:val="0"/>
        <w:rPr>
          <w:color w:val="auto"/>
        </w:rPr>
      </w:pPr>
      <w:r>
        <w:rPr>
          <w:color w:val="auto"/>
        </w:rPr>
        <w:t xml:space="preserve">Does the government support </w:t>
      </w:r>
      <w:r w:rsidR="00587E4C" w:rsidRPr="00DA2C39">
        <w:rPr>
          <w:color w:val="auto"/>
        </w:rPr>
        <w:t>a range of service provider models</w:t>
      </w:r>
      <w:r w:rsidR="00587E4C">
        <w:rPr>
          <w:color w:val="auto"/>
        </w:rPr>
        <w:t xml:space="preserve"> (</w:t>
      </w:r>
      <w:proofErr w:type="spellStart"/>
      <w:r w:rsidR="00587E4C">
        <w:rPr>
          <w:color w:val="auto"/>
        </w:rPr>
        <w:t>i.e</w:t>
      </w:r>
      <w:proofErr w:type="spellEnd"/>
      <w:r w:rsidR="00587E4C">
        <w:rPr>
          <w:color w:val="auto"/>
        </w:rPr>
        <w:t xml:space="preserve"> public, private and community management)</w:t>
      </w:r>
      <w:r w:rsidR="00D30029">
        <w:rPr>
          <w:color w:val="auto"/>
        </w:rPr>
        <w:t>? Is one model emphasised above others</w:t>
      </w:r>
      <w:r w:rsidR="00587E4C" w:rsidRPr="00DA2C39">
        <w:rPr>
          <w:color w:val="auto"/>
        </w:rPr>
        <w:t>?</w:t>
      </w:r>
    </w:p>
    <w:p w14:paraId="75CC59D6" w14:textId="26228CB8" w:rsidR="000318DC" w:rsidRDefault="000318DC" w:rsidP="00587E4C">
      <w:pPr>
        <w:pStyle w:val="ListParagraph"/>
        <w:numPr>
          <w:ilvl w:val="0"/>
          <w:numId w:val="1"/>
        </w:numPr>
        <w:spacing w:after="120"/>
        <w:ind w:left="446"/>
        <w:contextualSpacing w:val="0"/>
        <w:rPr>
          <w:color w:val="auto"/>
        </w:rPr>
      </w:pPr>
      <w:r>
        <w:rPr>
          <w:color w:val="auto"/>
        </w:rPr>
        <w:t>Does the government support the use of tariffs and levies to recover the costs of operations and maintenance?</w:t>
      </w:r>
    </w:p>
    <w:p w14:paraId="3E6E2563" w14:textId="51585303" w:rsidR="002B6A29" w:rsidRPr="00CA0CD6" w:rsidRDefault="00587E4C" w:rsidP="00CA0CD6">
      <w:pPr>
        <w:pStyle w:val="ListParagraph"/>
        <w:numPr>
          <w:ilvl w:val="0"/>
          <w:numId w:val="1"/>
        </w:numPr>
        <w:spacing w:after="120"/>
        <w:ind w:left="446"/>
        <w:contextualSpacing w:val="0"/>
        <w:rPr>
          <w:color w:val="auto"/>
        </w:rPr>
      </w:pPr>
      <w:r>
        <w:rPr>
          <w:color w:val="auto"/>
        </w:rPr>
        <w:t>Are there regulations in place to guide service provision (i.e. tariff setting</w:t>
      </w:r>
      <w:r w:rsidR="00340B04">
        <w:rPr>
          <w:color w:val="auto"/>
        </w:rPr>
        <w:t xml:space="preserve"> and water quality</w:t>
      </w:r>
      <w:r>
        <w:rPr>
          <w:color w:val="auto"/>
        </w:rPr>
        <w:t>)?</w:t>
      </w:r>
    </w:p>
    <w:p w14:paraId="613A2D1A" w14:textId="60FD7566" w:rsidR="00340B04" w:rsidRPr="00DA2C39" w:rsidRDefault="007969ED" w:rsidP="007969ED">
      <w:pPr>
        <w:pStyle w:val="ListParagraph"/>
        <w:spacing w:after="120"/>
        <w:ind w:left="0" w:firstLine="0"/>
        <w:contextualSpacing w:val="0"/>
        <w:rPr>
          <w:color w:val="auto"/>
        </w:rPr>
      </w:pPr>
      <w:r>
        <w:rPr>
          <w:color w:val="auto"/>
        </w:rPr>
        <w:t>The conditions in place at the national level should be assessable via a desktop review. However, local government priorities, budgets and institutional capacity can and do vary.</w:t>
      </w:r>
      <w:r w:rsidR="00EB526B">
        <w:rPr>
          <w:color w:val="auto"/>
        </w:rPr>
        <w:t xml:space="preserve"> In Rwanda, service delivery has been decentralised to the local government level and primary research will be necessary to understand the local political economy for rural water supply.</w:t>
      </w:r>
    </w:p>
    <w:p w14:paraId="0D7FF029" w14:textId="77777777" w:rsidR="00587E4C" w:rsidRDefault="00587E4C" w:rsidP="00CA0CD6">
      <w:pPr>
        <w:spacing w:after="120"/>
        <w:rPr>
          <w:b/>
          <w:color w:val="C00000" w:themeColor="accent6"/>
        </w:rPr>
      </w:pPr>
      <w:r>
        <w:rPr>
          <w:b/>
          <w:color w:val="C00000" w:themeColor="accent6"/>
        </w:rPr>
        <w:t xml:space="preserve">Local Government: </w:t>
      </w:r>
    </w:p>
    <w:p w14:paraId="002D1C88" w14:textId="0E79E82A" w:rsidR="00587E4C" w:rsidRPr="00DA2C39" w:rsidRDefault="00587E4C" w:rsidP="00587E4C">
      <w:pPr>
        <w:pStyle w:val="ListParagraph"/>
        <w:numPr>
          <w:ilvl w:val="0"/>
          <w:numId w:val="1"/>
        </w:numPr>
        <w:spacing w:after="120"/>
        <w:ind w:left="446"/>
        <w:contextualSpacing w:val="0"/>
        <w:rPr>
          <w:color w:val="auto"/>
        </w:rPr>
      </w:pPr>
      <w:r w:rsidRPr="00DA2C39">
        <w:rPr>
          <w:color w:val="auto"/>
        </w:rPr>
        <w:t xml:space="preserve">Has the local government identified rural water supply as a planning priority and is that priority supported with a budget for </w:t>
      </w:r>
      <w:r w:rsidR="000318DC">
        <w:rPr>
          <w:color w:val="auto"/>
        </w:rPr>
        <w:t>new works and</w:t>
      </w:r>
      <w:r w:rsidRPr="00DA2C39">
        <w:rPr>
          <w:color w:val="auto"/>
        </w:rPr>
        <w:t xml:space="preserve"> operations and maintenance?</w:t>
      </w:r>
    </w:p>
    <w:p w14:paraId="5DAC3365" w14:textId="3011B9DE" w:rsidR="00587E4C" w:rsidRDefault="00587E4C" w:rsidP="00587E4C">
      <w:pPr>
        <w:pStyle w:val="ListParagraph"/>
        <w:numPr>
          <w:ilvl w:val="0"/>
          <w:numId w:val="1"/>
        </w:numPr>
        <w:spacing w:after="120"/>
        <w:ind w:left="446"/>
        <w:contextualSpacing w:val="0"/>
        <w:rPr>
          <w:color w:val="auto"/>
        </w:rPr>
      </w:pPr>
      <w:r w:rsidRPr="00DA2C39">
        <w:rPr>
          <w:color w:val="auto"/>
        </w:rPr>
        <w:t>Does the local government have cost sharing agreements in place with service providers</w:t>
      </w:r>
      <w:r w:rsidR="0077013C">
        <w:rPr>
          <w:color w:val="auto"/>
        </w:rPr>
        <w:t xml:space="preserve"> (both private operators and community management committees)</w:t>
      </w:r>
      <w:r w:rsidR="00C16F2E">
        <w:rPr>
          <w:color w:val="auto"/>
        </w:rPr>
        <w:t xml:space="preserve"> and what are the terms for these arrangements</w:t>
      </w:r>
      <w:r w:rsidRPr="00DA2C39">
        <w:rPr>
          <w:color w:val="auto"/>
        </w:rPr>
        <w:t>?</w:t>
      </w:r>
    </w:p>
    <w:p w14:paraId="5DDA1EA7" w14:textId="148705C6" w:rsidR="0070546D" w:rsidRDefault="0070546D" w:rsidP="00587E4C">
      <w:pPr>
        <w:pStyle w:val="ListParagraph"/>
        <w:numPr>
          <w:ilvl w:val="0"/>
          <w:numId w:val="1"/>
        </w:numPr>
        <w:spacing w:after="120"/>
        <w:ind w:left="446"/>
        <w:contextualSpacing w:val="0"/>
        <w:rPr>
          <w:color w:val="auto"/>
        </w:rPr>
      </w:pPr>
      <w:r w:rsidRPr="0070546D">
        <w:rPr>
          <w:color w:val="auto"/>
        </w:rPr>
        <w:lastRenderedPageBreak/>
        <w:t>Does the local government employ trained technicians and are those t</w:t>
      </w:r>
      <w:r>
        <w:rPr>
          <w:color w:val="auto"/>
        </w:rPr>
        <w:t>echnicians able to repair the type of system being considered by the Red Cross Society?</w:t>
      </w:r>
    </w:p>
    <w:p w14:paraId="5BD4BE07" w14:textId="1AF53115" w:rsidR="00587E4C" w:rsidRDefault="00587E4C" w:rsidP="00587E4C">
      <w:pPr>
        <w:pStyle w:val="ListParagraph"/>
        <w:numPr>
          <w:ilvl w:val="0"/>
          <w:numId w:val="1"/>
        </w:numPr>
        <w:spacing w:after="120"/>
        <w:ind w:left="446"/>
        <w:contextualSpacing w:val="0"/>
        <w:rPr>
          <w:color w:val="auto"/>
        </w:rPr>
      </w:pPr>
      <w:r w:rsidRPr="0070546D">
        <w:rPr>
          <w:color w:val="auto"/>
        </w:rPr>
        <w:t>Is the local government monitoring the performance of service providers?</w:t>
      </w:r>
      <w:r w:rsidR="0070546D">
        <w:rPr>
          <w:color w:val="auto"/>
        </w:rPr>
        <w:t xml:space="preserve"> How frequently are monitoring activities conducted and what issues are assessed?</w:t>
      </w:r>
    </w:p>
    <w:p w14:paraId="229D0B3A" w14:textId="2874CE87" w:rsidR="002B6A29" w:rsidRPr="0070546D" w:rsidRDefault="002B6A29" w:rsidP="00587E4C">
      <w:pPr>
        <w:pStyle w:val="ListParagraph"/>
        <w:numPr>
          <w:ilvl w:val="0"/>
          <w:numId w:val="1"/>
        </w:numPr>
        <w:spacing w:after="120"/>
        <w:ind w:left="446"/>
        <w:contextualSpacing w:val="0"/>
        <w:rPr>
          <w:color w:val="auto"/>
        </w:rPr>
      </w:pPr>
      <w:r>
        <w:rPr>
          <w:color w:val="auto"/>
        </w:rPr>
        <w:t>Does</w:t>
      </w:r>
      <w:r w:rsidR="00D30029">
        <w:rPr>
          <w:color w:val="auto"/>
        </w:rPr>
        <w:t xml:space="preserve"> the</w:t>
      </w:r>
      <w:r>
        <w:rPr>
          <w:color w:val="auto"/>
        </w:rPr>
        <w:t xml:space="preserve"> local government have </w:t>
      </w:r>
      <w:r w:rsidR="00D30029">
        <w:rPr>
          <w:color w:val="auto"/>
        </w:rPr>
        <w:t xml:space="preserve">a </w:t>
      </w:r>
      <w:r>
        <w:rPr>
          <w:color w:val="auto"/>
        </w:rPr>
        <w:t>performance contract with central government</w:t>
      </w:r>
      <w:r w:rsidR="00D30029">
        <w:rPr>
          <w:color w:val="auto"/>
        </w:rPr>
        <w:t>?</w:t>
      </w:r>
      <w:r>
        <w:rPr>
          <w:color w:val="auto"/>
        </w:rPr>
        <w:t xml:space="preserve">  </w:t>
      </w:r>
      <w:r w:rsidR="004F43CE">
        <w:rPr>
          <w:color w:val="auto"/>
        </w:rPr>
        <w:t>Could</w:t>
      </w:r>
      <w:r>
        <w:rPr>
          <w:color w:val="auto"/>
        </w:rPr>
        <w:t xml:space="preserve"> </w:t>
      </w:r>
      <w:r w:rsidR="00D30029">
        <w:rPr>
          <w:color w:val="auto"/>
        </w:rPr>
        <w:t xml:space="preserve">a Red Cross Society water </w:t>
      </w:r>
      <w:r>
        <w:rPr>
          <w:color w:val="auto"/>
        </w:rPr>
        <w:t>project</w:t>
      </w:r>
      <w:r w:rsidR="00D30029">
        <w:rPr>
          <w:color w:val="auto"/>
        </w:rPr>
        <w:t xml:space="preserve"> be included in the performance contract?</w:t>
      </w:r>
    </w:p>
    <w:p w14:paraId="0AFBA290" w14:textId="351F93B7" w:rsidR="0070546D" w:rsidRDefault="0077013C" w:rsidP="0070546D">
      <w:pPr>
        <w:spacing w:after="120"/>
      </w:pPr>
      <w:r>
        <w:t>These lists are not exhaustive and simply indicate the range of issues that should be c</w:t>
      </w:r>
      <w:r w:rsidR="003D7C0F">
        <w:t xml:space="preserve">onsidered by program managers. </w:t>
      </w:r>
      <w:r w:rsidR="00340B04">
        <w:t>The host Society and any national WASH partners should always be consulted in the early stages of a program or project in order to explore these issues and identify lessons learnt.</w:t>
      </w:r>
    </w:p>
    <w:p w14:paraId="42BAEAC7" w14:textId="77777777" w:rsidR="0070546D" w:rsidRDefault="0070546D" w:rsidP="0070546D">
      <w:pPr>
        <w:spacing w:after="120"/>
      </w:pPr>
    </w:p>
    <w:p w14:paraId="17CDB40E" w14:textId="77777777" w:rsidR="0070546D" w:rsidRDefault="0070546D" w:rsidP="0070546D">
      <w:pPr>
        <w:spacing w:after="120"/>
      </w:pPr>
    </w:p>
    <w:p w14:paraId="7A496800" w14:textId="77777777" w:rsidR="00F06499" w:rsidRDefault="00F06499" w:rsidP="0070546D">
      <w:pPr>
        <w:spacing w:after="120"/>
      </w:pPr>
    </w:p>
    <w:p w14:paraId="6D27AEB9" w14:textId="77777777" w:rsidR="00F06499" w:rsidRDefault="00F06499" w:rsidP="0070546D">
      <w:pPr>
        <w:spacing w:after="120"/>
      </w:pPr>
    </w:p>
    <w:p w14:paraId="2666F09C" w14:textId="77777777" w:rsidR="00F06499" w:rsidRDefault="00F06499" w:rsidP="0070546D">
      <w:pPr>
        <w:spacing w:after="120"/>
      </w:pPr>
    </w:p>
    <w:p w14:paraId="56295ED2" w14:textId="77777777" w:rsidR="00F06499" w:rsidRDefault="00F06499" w:rsidP="0070546D">
      <w:pPr>
        <w:spacing w:after="120"/>
      </w:pPr>
    </w:p>
    <w:p w14:paraId="7CFA0CEE" w14:textId="09E221F1" w:rsidR="0070546D" w:rsidRDefault="00D2758F" w:rsidP="0070546D">
      <w:pPr>
        <w:spacing w:after="120"/>
      </w:pPr>
      <w:r>
        <w:t>[Could insert picture to fill up white space]</w:t>
      </w:r>
    </w:p>
    <w:p w14:paraId="61319CAE" w14:textId="77777777" w:rsidR="0070546D" w:rsidRDefault="0070546D" w:rsidP="0070546D">
      <w:pPr>
        <w:spacing w:after="120"/>
      </w:pPr>
    </w:p>
    <w:p w14:paraId="4754A7F6" w14:textId="77777777" w:rsidR="0070546D" w:rsidRDefault="0070546D" w:rsidP="0070546D">
      <w:pPr>
        <w:spacing w:after="120"/>
      </w:pPr>
    </w:p>
    <w:p w14:paraId="474B4A85" w14:textId="77777777" w:rsidR="0070546D" w:rsidRDefault="0070546D" w:rsidP="0070546D">
      <w:pPr>
        <w:spacing w:after="120"/>
      </w:pPr>
    </w:p>
    <w:p w14:paraId="15F8922F" w14:textId="77777777" w:rsidR="00F06499" w:rsidRDefault="00F06499" w:rsidP="0070546D">
      <w:pPr>
        <w:spacing w:after="120"/>
      </w:pPr>
    </w:p>
    <w:p w14:paraId="7C0CD057" w14:textId="77777777" w:rsidR="00F06499" w:rsidRDefault="00F06499" w:rsidP="0070546D">
      <w:pPr>
        <w:spacing w:after="120"/>
      </w:pPr>
    </w:p>
    <w:p w14:paraId="12A18D73" w14:textId="77777777" w:rsidR="00F06499" w:rsidRDefault="00F06499" w:rsidP="0070546D">
      <w:pPr>
        <w:spacing w:after="120"/>
      </w:pPr>
    </w:p>
    <w:p w14:paraId="5ABC215C" w14:textId="77777777" w:rsidR="00F06499" w:rsidRDefault="00F06499" w:rsidP="0070546D">
      <w:pPr>
        <w:spacing w:after="120"/>
      </w:pPr>
    </w:p>
    <w:p w14:paraId="7E58A32E" w14:textId="77777777" w:rsidR="00F06499" w:rsidRDefault="00F06499" w:rsidP="0070546D">
      <w:pPr>
        <w:spacing w:after="120"/>
      </w:pPr>
    </w:p>
    <w:p w14:paraId="365DB5E2" w14:textId="77777777" w:rsidR="00F06499" w:rsidRPr="0070546D" w:rsidRDefault="00F06499" w:rsidP="0070546D">
      <w:pPr>
        <w:spacing w:after="120"/>
        <w:sectPr w:rsidR="00F06499" w:rsidRPr="0070546D" w:rsidSect="00587E4C">
          <w:type w:val="continuous"/>
          <w:pgSz w:w="11900" w:h="16840"/>
          <w:pgMar w:top="1440" w:right="1080" w:bottom="1440" w:left="1080" w:header="708" w:footer="708" w:gutter="0"/>
          <w:cols w:num="2" w:space="708"/>
          <w:docGrid w:linePitch="360"/>
        </w:sectPr>
      </w:pPr>
    </w:p>
    <w:p w14:paraId="262987A6" w14:textId="01D17727" w:rsidR="00221ED9" w:rsidRPr="00340B04" w:rsidRDefault="00221ED9" w:rsidP="00340B04">
      <w:pPr>
        <w:spacing w:after="120"/>
      </w:pPr>
    </w:p>
    <w:p w14:paraId="000092B1" w14:textId="54EB81C0" w:rsidR="00587E4C" w:rsidRPr="00587E4C" w:rsidRDefault="00587E4C" w:rsidP="00587E4C">
      <w:pPr>
        <w:sectPr w:rsidR="00587E4C" w:rsidRPr="00587E4C" w:rsidSect="00DB6FC4">
          <w:type w:val="continuous"/>
          <w:pgSz w:w="11900" w:h="16840"/>
          <w:pgMar w:top="1440" w:right="1080" w:bottom="1440" w:left="1080" w:header="708" w:footer="708" w:gutter="0"/>
          <w:cols w:space="708"/>
          <w:docGrid w:linePitch="360"/>
        </w:sectPr>
      </w:pPr>
    </w:p>
    <w:p w14:paraId="4BAAFA5A" w14:textId="68F57D02" w:rsidR="000A56A0" w:rsidRPr="00CE5141" w:rsidRDefault="000A56A0" w:rsidP="00C16F2E">
      <w:pPr>
        <w:pStyle w:val="Heading1"/>
        <w:tabs>
          <w:tab w:val="center" w:pos="4870"/>
        </w:tabs>
      </w:pPr>
      <w:bookmarkStart w:id="11" w:name="_Toc420755110"/>
      <w:r w:rsidRPr="00CE5141">
        <w:lastRenderedPageBreak/>
        <w:t>System Design Considerations</w:t>
      </w:r>
      <w:bookmarkEnd w:id="11"/>
      <w:r w:rsidR="00C16F2E">
        <w:tab/>
      </w:r>
    </w:p>
    <w:p w14:paraId="79532A2E" w14:textId="60EC8990" w:rsidR="000A56A0" w:rsidRPr="00A971DC" w:rsidRDefault="009A2C5C" w:rsidP="00A971DC">
      <w:pPr>
        <w:pStyle w:val="Heading3"/>
        <w:pBdr>
          <w:bottom w:val="single" w:sz="4" w:space="1" w:color="auto"/>
        </w:pBdr>
        <w:spacing w:before="120" w:after="120" w:line="360" w:lineRule="auto"/>
        <w:rPr>
          <w:rStyle w:val="SubtleEmphasis"/>
        </w:rPr>
      </w:pPr>
      <w:r w:rsidRPr="00A971DC">
        <w:rPr>
          <w:rStyle w:val="SubtleEmphasis"/>
        </w:rPr>
        <w:t xml:space="preserve">Condition: A technically appropriate system has been built that can service population growth over </w:t>
      </w:r>
      <w:r w:rsidR="009E0036">
        <w:rPr>
          <w:rStyle w:val="SubtleEmphasis"/>
        </w:rPr>
        <w:t>15</w:t>
      </w:r>
      <w:r w:rsidRPr="00A971DC">
        <w:rPr>
          <w:rStyle w:val="SubtleEmphasis"/>
        </w:rPr>
        <w:t xml:space="preserve"> years.</w:t>
      </w:r>
    </w:p>
    <w:p w14:paraId="3143C0D5" w14:textId="77777777" w:rsidR="00062007" w:rsidRDefault="00062007" w:rsidP="00C50830">
      <w:pPr>
        <w:sectPr w:rsidR="00062007" w:rsidSect="00637561">
          <w:pgSz w:w="11900" w:h="16840"/>
          <w:pgMar w:top="1440" w:right="1080" w:bottom="1440" w:left="1080" w:header="708" w:footer="708" w:gutter="0"/>
          <w:cols w:space="708"/>
          <w:docGrid w:linePitch="360"/>
        </w:sectPr>
      </w:pPr>
    </w:p>
    <w:p w14:paraId="38FEA322" w14:textId="7A5B00DF" w:rsidR="001E76BB" w:rsidRPr="001E76BB" w:rsidRDefault="001E76BB" w:rsidP="001E76BB">
      <w:pPr>
        <w:rPr>
          <w:iCs/>
          <w:color w:val="000000"/>
        </w:rPr>
      </w:pPr>
      <w:r>
        <w:lastRenderedPageBreak/>
        <w:t>International experience has demonstrated that a technically suitab</w:t>
      </w:r>
      <w:r w:rsidR="00757C36">
        <w:t>le</w:t>
      </w:r>
      <w:r>
        <w:t xml:space="preserve"> water supply system</w:t>
      </w:r>
      <w:r w:rsidR="00757C36">
        <w:t xml:space="preserve"> is necessary to avoid breakdowns and ensure low costs for operations and maintenance. This section outlines the issues and principles that program managers should consider when designing a rural, small piped water system.</w:t>
      </w:r>
    </w:p>
    <w:p w14:paraId="7C5FF886" w14:textId="0CD5C6D0" w:rsidR="00A01C86" w:rsidRDefault="00A01C86" w:rsidP="00A57C85">
      <w:pPr>
        <w:pStyle w:val="Heading2"/>
      </w:pPr>
      <w:bookmarkStart w:id="12" w:name="_Toc420755111"/>
      <w:r>
        <w:t>Technical Feasibility</w:t>
      </w:r>
      <w:bookmarkEnd w:id="12"/>
    </w:p>
    <w:p w14:paraId="20A68F3B" w14:textId="774A992F" w:rsidR="002D4963" w:rsidRPr="008337BC" w:rsidRDefault="00462228" w:rsidP="00A57C85">
      <w:r>
        <w:t>There are several key design determinants that program managers should review in the early phases of project planning. They are</w:t>
      </w:r>
      <w:r w:rsidR="002D4963" w:rsidRPr="008337BC">
        <w:t>:</w:t>
      </w:r>
    </w:p>
    <w:p w14:paraId="30D18268" w14:textId="2B657D14" w:rsidR="002D4963" w:rsidRPr="008337BC" w:rsidRDefault="002D4963" w:rsidP="008A5837">
      <w:pPr>
        <w:pStyle w:val="ListParagraph"/>
        <w:numPr>
          <w:ilvl w:val="0"/>
          <w:numId w:val="13"/>
        </w:numPr>
        <w:spacing w:after="60"/>
        <w:contextualSpacing w:val="0"/>
        <w:rPr>
          <w:color w:val="auto"/>
        </w:rPr>
      </w:pPr>
      <w:r w:rsidRPr="008337BC">
        <w:rPr>
          <w:color w:val="auto"/>
        </w:rPr>
        <w:t>the size of the beneficiary population</w:t>
      </w:r>
      <w:r w:rsidR="005D0C21">
        <w:rPr>
          <w:color w:val="auto"/>
        </w:rPr>
        <w:t>, current water supply needs</w:t>
      </w:r>
      <w:r w:rsidRPr="008337BC">
        <w:rPr>
          <w:color w:val="auto"/>
        </w:rPr>
        <w:t xml:space="preserve"> and </w:t>
      </w:r>
      <w:r w:rsidR="005D0C21">
        <w:rPr>
          <w:color w:val="auto"/>
        </w:rPr>
        <w:t xml:space="preserve">predicted population </w:t>
      </w:r>
      <w:r w:rsidR="00F22564">
        <w:rPr>
          <w:color w:val="auto"/>
        </w:rPr>
        <w:t>growth</w:t>
      </w:r>
      <w:r w:rsidR="00115932">
        <w:rPr>
          <w:color w:val="auto"/>
        </w:rPr>
        <w:t>;</w:t>
      </w:r>
    </w:p>
    <w:p w14:paraId="2077B67E" w14:textId="773455B2" w:rsidR="002D4963" w:rsidRPr="008337BC" w:rsidRDefault="002D4963" w:rsidP="008A5837">
      <w:pPr>
        <w:pStyle w:val="ListParagraph"/>
        <w:numPr>
          <w:ilvl w:val="0"/>
          <w:numId w:val="13"/>
        </w:numPr>
        <w:spacing w:after="60"/>
        <w:contextualSpacing w:val="0"/>
        <w:rPr>
          <w:color w:val="auto"/>
        </w:rPr>
      </w:pPr>
      <w:r w:rsidRPr="008337BC">
        <w:rPr>
          <w:color w:val="auto"/>
        </w:rPr>
        <w:t>the distance between the water source or sources and the beneficiary population</w:t>
      </w:r>
      <w:r w:rsidR="00115932">
        <w:rPr>
          <w:color w:val="auto"/>
        </w:rPr>
        <w:t>;</w:t>
      </w:r>
    </w:p>
    <w:p w14:paraId="64336E00" w14:textId="2DC88374" w:rsidR="008337BC" w:rsidRPr="008337BC" w:rsidRDefault="008337BC" w:rsidP="008A5837">
      <w:pPr>
        <w:pStyle w:val="ListParagraph"/>
        <w:numPr>
          <w:ilvl w:val="0"/>
          <w:numId w:val="13"/>
        </w:numPr>
        <w:spacing w:after="60"/>
        <w:contextualSpacing w:val="0"/>
        <w:rPr>
          <w:color w:val="auto"/>
        </w:rPr>
      </w:pPr>
      <w:r w:rsidRPr="008337BC">
        <w:rPr>
          <w:color w:val="auto"/>
        </w:rPr>
        <w:t>the extent to which beneficiaries are clustered together, or the extent to which they are dispersed</w:t>
      </w:r>
      <w:r w:rsidR="00115932">
        <w:rPr>
          <w:color w:val="auto"/>
        </w:rPr>
        <w:t>;</w:t>
      </w:r>
    </w:p>
    <w:p w14:paraId="6F86FCC0" w14:textId="0067C14D" w:rsidR="002D4963" w:rsidRPr="008337BC" w:rsidRDefault="002D4963" w:rsidP="008A5837">
      <w:pPr>
        <w:pStyle w:val="ListParagraph"/>
        <w:numPr>
          <w:ilvl w:val="0"/>
          <w:numId w:val="13"/>
        </w:numPr>
        <w:spacing w:after="60"/>
        <w:contextualSpacing w:val="0"/>
        <w:rPr>
          <w:color w:val="auto"/>
        </w:rPr>
      </w:pPr>
      <w:r w:rsidRPr="008337BC">
        <w:rPr>
          <w:color w:val="auto"/>
        </w:rPr>
        <w:t>the nature of the water source or sources (groundwater vs surface water)</w:t>
      </w:r>
      <w:r w:rsidR="00115932">
        <w:rPr>
          <w:color w:val="auto"/>
        </w:rPr>
        <w:t>; and</w:t>
      </w:r>
    </w:p>
    <w:p w14:paraId="5056E0EB" w14:textId="03E3A65A" w:rsidR="002D4963" w:rsidRPr="008337BC" w:rsidRDefault="002D4963" w:rsidP="002D4963">
      <w:pPr>
        <w:pStyle w:val="ListParagraph"/>
        <w:numPr>
          <w:ilvl w:val="0"/>
          <w:numId w:val="13"/>
        </w:numPr>
        <w:rPr>
          <w:color w:val="auto"/>
        </w:rPr>
      </w:pPr>
      <w:r w:rsidRPr="008337BC">
        <w:rPr>
          <w:color w:val="auto"/>
        </w:rPr>
        <w:t>the topography of the land</w:t>
      </w:r>
      <w:r w:rsidR="00462228">
        <w:rPr>
          <w:color w:val="auto"/>
        </w:rPr>
        <w:t>.</w:t>
      </w:r>
    </w:p>
    <w:p w14:paraId="0F4BC5B5" w14:textId="4FEADE8D" w:rsidR="008337BC" w:rsidRDefault="008337BC" w:rsidP="002D4963">
      <w:r>
        <w:t>These factors will determine the</w:t>
      </w:r>
      <w:r w:rsidR="005E162C">
        <w:t xml:space="preserve"> desired </w:t>
      </w:r>
      <w:r w:rsidR="00462228">
        <w:t xml:space="preserve">water </w:t>
      </w:r>
      <w:r w:rsidR="005E162C">
        <w:t>flow rate, the</w:t>
      </w:r>
      <w:r>
        <w:t xml:space="preserve"> need for a pump, the length of the pipeline (including </w:t>
      </w:r>
      <w:r w:rsidR="00462228">
        <w:t xml:space="preserve">any </w:t>
      </w:r>
      <w:r>
        <w:t>branches)</w:t>
      </w:r>
      <w:r w:rsidR="005D63AB">
        <w:t xml:space="preserve"> and</w:t>
      </w:r>
      <w:r>
        <w:t xml:space="preserve"> the need for reservoirs, break pressure tanks and wash out tanks. Community consultation (discussed below) will also help to determine the number and location of water </w:t>
      </w:r>
      <w:r w:rsidR="007911FF">
        <w:t>points</w:t>
      </w:r>
      <w:r>
        <w:t>.</w:t>
      </w:r>
    </w:p>
    <w:p w14:paraId="6EF7F565" w14:textId="0A85A659" w:rsidR="008337BC" w:rsidRDefault="00AE37DE" w:rsidP="002D4963">
      <w:r>
        <w:t>When designing the system program managers should</w:t>
      </w:r>
      <w:r w:rsidR="00C94753">
        <w:t xml:space="preserve"> </w:t>
      </w:r>
      <w:r>
        <w:t>assess</w:t>
      </w:r>
      <w:r w:rsidR="00C94753">
        <w:t xml:space="preserve"> the cost and availability of spare parts for pumps, generators, valves and taps. A major cost driver will be the extent to which spare parts are sold in local markets. Parts that need to be brought in from capital cities or imported from outside the count</w:t>
      </w:r>
      <w:r w:rsidR="007911FF">
        <w:t>r</w:t>
      </w:r>
      <w:r w:rsidR="00C94753">
        <w:t xml:space="preserve">y incur higher </w:t>
      </w:r>
      <w:r w:rsidR="00C94753">
        <w:lastRenderedPageBreak/>
        <w:t>costs and can cause delays for repair work.</w:t>
      </w:r>
      <w:r w:rsidR="005921EF">
        <w:t xml:space="preserve"> </w:t>
      </w:r>
      <w:r>
        <w:t xml:space="preserve">It is </w:t>
      </w:r>
      <w:r w:rsidR="00FC1179">
        <w:t xml:space="preserve">also </w:t>
      </w:r>
      <w:r>
        <w:t xml:space="preserve">important to confirm whether pumping technology has been standardised by government policy, as this ensures that the spare parts for those pumps are widely available. </w:t>
      </w:r>
      <w:r w:rsidR="005921EF">
        <w:t>Program managers should consult with the National Red Cross Society, national WASH partners and private sector suppliers to ensure that suitable technology and reliable products are used for the system.</w:t>
      </w:r>
    </w:p>
    <w:p w14:paraId="25ACD42F" w14:textId="17216CA5" w:rsidR="008A0294" w:rsidRDefault="0082053C" w:rsidP="002D4963">
      <w:r>
        <w:t>Research in Rwanda, where small, piped systems are prevalent, has found that the source of energy for conveying water through a pipeline is a significant cost driver for a water service.</w:t>
      </w:r>
      <w:r w:rsidR="00AE37DE">
        <w:t xml:space="preserve"> For example, the costs of running a diesel generator to power a pump are higher than for a pump that is connected to the electricity grid (refer Table </w:t>
      </w:r>
      <w:r w:rsidR="00AE37DE" w:rsidRPr="00AE37DE">
        <w:rPr>
          <w:highlight w:val="yellow"/>
        </w:rPr>
        <w:t>X</w:t>
      </w:r>
      <w:r w:rsidR="00AE37DE">
        <w:t xml:space="preserve"> in Planning for Cost Recovery). </w:t>
      </w:r>
      <w:r w:rsidR="008A0294">
        <w:t xml:space="preserve">Service providers managing systems that require a diesel generator have complained about the high cost of diesel and some have struggled to ensure an adequate supply of fuel for their pump, resulting in periodic water shortages. </w:t>
      </w:r>
    </w:p>
    <w:p w14:paraId="05EA104D" w14:textId="7127D0AB" w:rsidR="006077CE" w:rsidRDefault="00AE37DE" w:rsidP="008A0294">
      <w:r>
        <w:t xml:space="preserve">Program managers should consider the impact of the energy source on operating costs for the service to ensure that costs are kept low, </w:t>
      </w:r>
      <w:r w:rsidR="008A0294">
        <w:t>to better ensure</w:t>
      </w:r>
      <w:r>
        <w:t xml:space="preserve"> </w:t>
      </w:r>
      <w:r w:rsidR="008A0294">
        <w:t xml:space="preserve">that a basic level of service is maintained. </w:t>
      </w:r>
      <w:r>
        <w:t xml:space="preserve">It is recommended that program managers should assess the extent of rural electrification in the targeted district and negotiations should be undertaken with local governments to extend the reach of the electricity network to the </w:t>
      </w:r>
      <w:r w:rsidR="00FC1179">
        <w:t xml:space="preserve">proposed </w:t>
      </w:r>
      <w:r>
        <w:t>location of the</w:t>
      </w:r>
      <w:r w:rsidR="00FC1179">
        <w:t xml:space="preserve"> water</w:t>
      </w:r>
      <w:r>
        <w:t xml:space="preserve"> pump.</w:t>
      </w:r>
    </w:p>
    <w:p w14:paraId="708CCC99" w14:textId="736D014E" w:rsidR="0029155A" w:rsidRDefault="006435E3" w:rsidP="00FF5184">
      <w:pPr>
        <w:pStyle w:val="Heading2"/>
      </w:pPr>
      <w:bookmarkStart w:id="13" w:name="_Toc420755112"/>
      <w:r>
        <w:t xml:space="preserve">The Principle of </w:t>
      </w:r>
      <w:r w:rsidR="00A07985">
        <w:t>Participation</w:t>
      </w:r>
      <w:bookmarkEnd w:id="13"/>
    </w:p>
    <w:p w14:paraId="53D18D75" w14:textId="74DD315E" w:rsidR="00E93AFE" w:rsidRDefault="00E93AFE" w:rsidP="005C3194">
      <w:r>
        <w:t xml:space="preserve">The 1992 Dublin Principles on Water and Sustainable Development underline the need </w:t>
      </w:r>
      <w:r>
        <w:lastRenderedPageBreak/>
        <w:t xml:space="preserve">for a participatory approach for water </w:t>
      </w:r>
      <w:r w:rsidR="008A0294">
        <w:t xml:space="preserve">supply </w:t>
      </w:r>
      <w:r>
        <w:t>programs. The Dublin Principles specifically require “</w:t>
      </w:r>
      <w:r w:rsidRPr="00E93AFE">
        <w:t>full public consultation and involvement of users in the planning and implementation of water projects.”</w:t>
      </w:r>
    </w:p>
    <w:p w14:paraId="67BB6C65" w14:textId="7FC38081" w:rsidR="00E93AFE" w:rsidRPr="00FF5184" w:rsidRDefault="00792A81" w:rsidP="005C3194">
      <w:r>
        <w:t xml:space="preserve">Putting these principles into </w:t>
      </w:r>
      <w:r w:rsidR="00E93AFE" w:rsidRPr="00FF5184">
        <w:t>practice</w:t>
      </w:r>
      <w:r>
        <w:t>,</w:t>
      </w:r>
      <w:r w:rsidR="00E93AFE" w:rsidRPr="00FF5184">
        <w:t xml:space="preserve"> the community should be consulted on</w:t>
      </w:r>
      <w:r w:rsidR="00FF5184">
        <w:t xml:space="preserve"> the following points during the design phase of a water supply project</w:t>
      </w:r>
      <w:r w:rsidR="00E93AFE" w:rsidRPr="00FF5184">
        <w:t>:</w:t>
      </w:r>
    </w:p>
    <w:p w14:paraId="7F1C7F60" w14:textId="78E8B256" w:rsidR="00E93AFE" w:rsidRDefault="00115932" w:rsidP="00FF5184">
      <w:pPr>
        <w:pStyle w:val="ListParagraph"/>
        <w:numPr>
          <w:ilvl w:val="0"/>
          <w:numId w:val="12"/>
        </w:numPr>
        <w:spacing w:before="60" w:after="60"/>
        <w:contextualSpacing w:val="0"/>
        <w:rPr>
          <w:color w:val="auto"/>
        </w:rPr>
      </w:pPr>
      <w:r>
        <w:rPr>
          <w:color w:val="auto"/>
        </w:rPr>
        <w:t>t</w:t>
      </w:r>
      <w:r w:rsidR="00E93AFE" w:rsidRPr="00FF5184">
        <w:rPr>
          <w:color w:val="auto"/>
        </w:rPr>
        <w:t>he source or sources of water for the water supply service;</w:t>
      </w:r>
    </w:p>
    <w:p w14:paraId="4FF46052" w14:textId="53C25B3F" w:rsidR="00FF5184" w:rsidRPr="00FF5184" w:rsidRDefault="00115932" w:rsidP="00FF5184">
      <w:pPr>
        <w:pStyle w:val="ListParagraph"/>
        <w:numPr>
          <w:ilvl w:val="0"/>
          <w:numId w:val="12"/>
        </w:numPr>
        <w:spacing w:before="60" w:after="60"/>
        <w:contextualSpacing w:val="0"/>
        <w:rPr>
          <w:color w:val="auto"/>
        </w:rPr>
      </w:pPr>
      <w:r>
        <w:rPr>
          <w:color w:val="auto"/>
        </w:rPr>
        <w:t>t</w:t>
      </w:r>
      <w:r w:rsidR="00FF5184">
        <w:rPr>
          <w:color w:val="auto"/>
        </w:rPr>
        <w:t>he path of the water network;</w:t>
      </w:r>
    </w:p>
    <w:p w14:paraId="5180524A" w14:textId="6787606C" w:rsidR="00E93AFE" w:rsidRDefault="00115932" w:rsidP="00FF5184">
      <w:pPr>
        <w:pStyle w:val="ListParagraph"/>
        <w:numPr>
          <w:ilvl w:val="0"/>
          <w:numId w:val="12"/>
        </w:numPr>
        <w:spacing w:before="60" w:after="60"/>
        <w:contextualSpacing w:val="0"/>
        <w:rPr>
          <w:color w:val="auto"/>
        </w:rPr>
      </w:pPr>
      <w:r>
        <w:rPr>
          <w:color w:val="auto"/>
        </w:rPr>
        <w:t>t</w:t>
      </w:r>
      <w:r w:rsidR="00FF5184">
        <w:rPr>
          <w:color w:val="auto"/>
        </w:rPr>
        <w:t>he location of public water points;</w:t>
      </w:r>
    </w:p>
    <w:p w14:paraId="7F7D3190" w14:textId="1FFF655C" w:rsidR="00FF5184" w:rsidRDefault="00115932" w:rsidP="00FF5184">
      <w:pPr>
        <w:pStyle w:val="ListParagraph"/>
        <w:numPr>
          <w:ilvl w:val="0"/>
          <w:numId w:val="12"/>
        </w:numPr>
        <w:spacing w:before="60" w:after="60"/>
        <w:contextualSpacing w:val="0"/>
        <w:rPr>
          <w:color w:val="auto"/>
        </w:rPr>
      </w:pPr>
      <w:r>
        <w:rPr>
          <w:color w:val="auto"/>
        </w:rPr>
        <w:t>t</w:t>
      </w:r>
      <w:r w:rsidR="00FF5184">
        <w:rPr>
          <w:color w:val="auto"/>
        </w:rPr>
        <w:t>he households that wish to pay for piped access to their home;</w:t>
      </w:r>
    </w:p>
    <w:p w14:paraId="00E36078" w14:textId="040F4720" w:rsidR="00FF5184" w:rsidRDefault="00115932" w:rsidP="00FF5184">
      <w:pPr>
        <w:pStyle w:val="ListParagraph"/>
        <w:numPr>
          <w:ilvl w:val="0"/>
          <w:numId w:val="12"/>
        </w:numPr>
        <w:spacing w:before="60" w:after="60"/>
        <w:contextualSpacing w:val="0"/>
        <w:rPr>
          <w:color w:val="auto"/>
        </w:rPr>
      </w:pPr>
      <w:r>
        <w:rPr>
          <w:color w:val="auto"/>
        </w:rPr>
        <w:t>t</w:t>
      </w:r>
      <w:r w:rsidR="00FF5184">
        <w:rPr>
          <w:color w:val="auto"/>
        </w:rPr>
        <w:t>he preferred service provider model (i.e. community management, local government or private sector)</w:t>
      </w:r>
      <w:r>
        <w:rPr>
          <w:color w:val="auto"/>
        </w:rPr>
        <w:t>; and</w:t>
      </w:r>
    </w:p>
    <w:p w14:paraId="225B3612" w14:textId="1998555B" w:rsidR="00FF5184" w:rsidRPr="00FF5184" w:rsidRDefault="00115932" w:rsidP="00792A81">
      <w:pPr>
        <w:pStyle w:val="ListParagraph"/>
        <w:numPr>
          <w:ilvl w:val="0"/>
          <w:numId w:val="13"/>
        </w:numPr>
        <w:rPr>
          <w:color w:val="auto"/>
        </w:rPr>
      </w:pPr>
      <w:r>
        <w:rPr>
          <w:color w:val="auto"/>
        </w:rPr>
        <w:t>t</w:t>
      </w:r>
      <w:r w:rsidR="00FF5184">
        <w:rPr>
          <w:color w:val="auto"/>
        </w:rPr>
        <w:t>he need to pay for the service and the basis of payment.</w:t>
      </w:r>
    </w:p>
    <w:p w14:paraId="40246821" w14:textId="68FC95C9" w:rsidR="00A01C86" w:rsidRDefault="00A01C86" w:rsidP="005C3194">
      <w:r>
        <w:t xml:space="preserve">Participation does not end at the design phase. Program managers should ensure that community leaders and local government representatives are regularly engaged </w:t>
      </w:r>
      <w:r w:rsidR="00CB26E2">
        <w:t xml:space="preserve">throughout the project cycle </w:t>
      </w:r>
      <w:r>
        <w:t>to ensure responsiveness to community concerns.</w:t>
      </w:r>
    </w:p>
    <w:p w14:paraId="3474197C" w14:textId="77777777" w:rsidR="00E51C0C" w:rsidRDefault="00094EED" w:rsidP="005C3194">
      <w:r>
        <w:t>Note that c</w:t>
      </w:r>
      <w:r w:rsidR="00CB26E2">
        <w:t xml:space="preserve">ommunity consultation should also seek to determine the needs </w:t>
      </w:r>
      <w:r w:rsidR="00792A81">
        <w:t xml:space="preserve">of </w:t>
      </w:r>
      <w:r w:rsidR="00CB26E2">
        <w:t>people</w:t>
      </w:r>
      <w:r w:rsidR="00FF5184">
        <w:t xml:space="preserve"> living with a disability</w:t>
      </w:r>
      <w:r>
        <w:t xml:space="preserve"> during the </w:t>
      </w:r>
      <w:r w:rsidR="00E51C0C">
        <w:t xml:space="preserve">project </w:t>
      </w:r>
      <w:r>
        <w:t>design phase</w:t>
      </w:r>
      <w:r w:rsidR="00CB26E2">
        <w:t>. Program managers should identify any members of the community that have a physical impairment</w:t>
      </w:r>
      <w:r w:rsidR="00E87E1A">
        <w:t>. A</w:t>
      </w:r>
      <w:r w:rsidR="00FF5184">
        <w:t>n assessment should</w:t>
      </w:r>
      <w:r w:rsidR="00E87E1A">
        <w:t xml:space="preserve"> then</w:t>
      </w:r>
      <w:r w:rsidR="00FF5184">
        <w:t xml:space="preserve"> be undertaken to determine the </w:t>
      </w:r>
      <w:r w:rsidR="007B2F6D">
        <w:t xml:space="preserve">location of water points and the </w:t>
      </w:r>
      <w:r w:rsidR="00FF5184">
        <w:t xml:space="preserve">specific design requirements </w:t>
      </w:r>
      <w:r w:rsidR="007B2F6D">
        <w:t>for</w:t>
      </w:r>
      <w:r w:rsidR="00FF5184">
        <w:t xml:space="preserve"> water </w:t>
      </w:r>
      <w:r w:rsidR="007B2F6D">
        <w:t xml:space="preserve">points to </w:t>
      </w:r>
      <w:r w:rsidR="00792A81">
        <w:t>ensure</w:t>
      </w:r>
      <w:r w:rsidR="007B2F6D">
        <w:t xml:space="preserve"> equity of access for</w:t>
      </w:r>
      <w:r w:rsidR="00FF5184">
        <w:t xml:space="preserve"> people living with disabilities</w:t>
      </w:r>
      <w:r w:rsidR="007B2F6D">
        <w:t xml:space="preserve">. </w:t>
      </w:r>
    </w:p>
    <w:p w14:paraId="46783FED" w14:textId="65028442" w:rsidR="00FF5184" w:rsidRDefault="00E51C0C" w:rsidP="005C3194">
      <w:r>
        <w:t>P</w:t>
      </w:r>
      <w:r w:rsidR="007B2F6D">
        <w:t xml:space="preserve">eople living with disabilities must be consulted throughout the project cycle, from design to construction and </w:t>
      </w:r>
      <w:proofErr w:type="spellStart"/>
      <w:r w:rsidR="007B2F6D">
        <w:t>endline</w:t>
      </w:r>
      <w:proofErr w:type="spellEnd"/>
      <w:r w:rsidR="007B2F6D">
        <w:t xml:space="preserve"> evaluation, to ensure that any barriers to access are identified and addressed.</w:t>
      </w:r>
    </w:p>
    <w:p w14:paraId="4CED7B22" w14:textId="67FC85FF" w:rsidR="0070185C" w:rsidRDefault="00062007" w:rsidP="0070185C">
      <w:pPr>
        <w:pStyle w:val="Heading2"/>
      </w:pPr>
      <w:bookmarkStart w:id="14" w:name="_Toc420755113"/>
      <w:r>
        <w:lastRenderedPageBreak/>
        <w:t>Supplying Demand</w:t>
      </w:r>
      <w:bookmarkEnd w:id="14"/>
    </w:p>
    <w:p w14:paraId="4D99AB9B" w14:textId="02BE6815" w:rsidR="0070185C" w:rsidRDefault="003760AB" w:rsidP="0070185C">
      <w:r>
        <w:t xml:space="preserve">When planning for the volume of water that needs to be supplied to the beneficiary population, program managers must consider any change in demand over time. For example, </w:t>
      </w:r>
      <w:r w:rsidR="0070185C">
        <w:t>Rwanda’s rural centres are experiencing rapid population growth. The</w:t>
      </w:r>
      <w:r w:rsidR="00721AF1">
        <w:t xml:space="preserve"> national</w:t>
      </w:r>
      <w:r w:rsidR="0070185C">
        <w:t xml:space="preserve"> population has doubled since </w:t>
      </w:r>
      <w:r w:rsidR="0070185C" w:rsidRPr="001E19EF">
        <w:t>1995 and is predicted to do so again by 2035.</w:t>
      </w:r>
      <w:r w:rsidR="0070185C">
        <w:t xml:space="preserve"> Government support for denser conglomerations of rural communities has also expanded the size of rural centres. Consequently, some water supply systems are no longer able to supply </w:t>
      </w:r>
      <w:r w:rsidR="00721AF1">
        <w:t xml:space="preserve">the </w:t>
      </w:r>
      <w:r w:rsidR="0070185C">
        <w:t xml:space="preserve">demand for water, resulting in an increase in queuing times and increased </w:t>
      </w:r>
      <w:proofErr w:type="spellStart"/>
      <w:r w:rsidR="0070185C">
        <w:t>used</w:t>
      </w:r>
      <w:proofErr w:type="spellEnd"/>
      <w:r w:rsidR="0070185C">
        <w:t xml:space="preserve"> of alternative sources, such as springs and surface water.</w:t>
      </w:r>
    </w:p>
    <w:p w14:paraId="1DC3B3F1" w14:textId="5DABAEBD" w:rsidR="0064317F" w:rsidRDefault="0070185C" w:rsidP="0070185C">
      <w:r>
        <w:t xml:space="preserve">Rwanda’s population growth demonstrates the need to plan for population growth when designing a water supply system. Program managers should review all available data and information on population growth rates, ideally down to the district level, as well as </w:t>
      </w:r>
      <w:r w:rsidR="00721AF1">
        <w:t xml:space="preserve">any trends for </w:t>
      </w:r>
      <w:r>
        <w:t xml:space="preserve">urban/rural migration and migration between rural communities. This information will then allow managers to project demand for water in the targeted communities. </w:t>
      </w:r>
    </w:p>
    <w:p w14:paraId="4BC4834A" w14:textId="25436720" w:rsidR="0070185C" w:rsidRDefault="00F97220" w:rsidP="0070185C">
      <w:r>
        <w:t>When developing projections, p</w:t>
      </w:r>
      <w:r w:rsidR="0064317F">
        <w:t>rogram managers should consult with the local government on the period over which the system should be able to service population growth (national water departments should also be consulted). As a guideline i</w:t>
      </w:r>
      <w:r w:rsidR="0070185C">
        <w:t xml:space="preserve">t is proposed that </w:t>
      </w:r>
      <w:r w:rsidR="003760AB">
        <w:t>a new water supply system should</w:t>
      </w:r>
      <w:r w:rsidR="0070185C">
        <w:t xml:space="preserve"> be </w:t>
      </w:r>
      <w:r w:rsidR="003760AB">
        <w:t xml:space="preserve">able to meet water demand over a period of </w:t>
      </w:r>
      <w:r w:rsidR="0070185C">
        <w:t>15 years.</w:t>
      </w:r>
    </w:p>
    <w:p w14:paraId="66692D44" w14:textId="3A8DF566" w:rsidR="004705CF" w:rsidRDefault="00DB3351" w:rsidP="004705CF">
      <w:pPr>
        <w:pStyle w:val="Heading2"/>
      </w:pPr>
      <w:bookmarkStart w:id="15" w:name="_Toc420755114"/>
      <w:r>
        <w:t>Providing Safe Water</w:t>
      </w:r>
      <w:bookmarkEnd w:id="15"/>
    </w:p>
    <w:p w14:paraId="6BFA7C1E" w14:textId="74DDBC11" w:rsidR="004705CF" w:rsidRDefault="00B21BED" w:rsidP="004705CF">
      <w:pPr>
        <w:rPr>
          <w:lang w:val="en-US"/>
        </w:rPr>
      </w:pPr>
      <w:r>
        <w:rPr>
          <w:lang w:val="en-US"/>
        </w:rPr>
        <w:t>Testing of the water source should be conducted during the planning stages for a new system, before construction begins. This will identify any quality issues</w:t>
      </w:r>
      <w:r w:rsidR="00F97220">
        <w:rPr>
          <w:lang w:val="en-US"/>
        </w:rPr>
        <w:t>, such as high fluoride levels.</w:t>
      </w:r>
      <w:r>
        <w:rPr>
          <w:lang w:val="en-US"/>
        </w:rPr>
        <w:t xml:space="preserve"> Following the construction of the new system, monitoring activities should regularly test water at both the source and at water </w:t>
      </w:r>
      <w:r>
        <w:rPr>
          <w:lang w:val="en-US"/>
        </w:rPr>
        <w:lastRenderedPageBreak/>
        <w:t>points to check whether water quality is being maintained and if any contaminants are entering the system along the pipeline.</w:t>
      </w:r>
    </w:p>
    <w:p w14:paraId="6E216288" w14:textId="7426A455" w:rsidR="00637561" w:rsidRDefault="00F97220" w:rsidP="005C3194">
      <w:r>
        <w:rPr>
          <w:lang w:val="en-US"/>
        </w:rPr>
        <w:t>P</w:t>
      </w:r>
      <w:r w:rsidR="00B21BED">
        <w:rPr>
          <w:lang w:val="en-US"/>
        </w:rPr>
        <w:t xml:space="preserve">rogram managers should consider the need for a water safety plan. </w:t>
      </w:r>
      <w:r w:rsidR="00E026C8">
        <w:rPr>
          <w:lang w:val="en-US"/>
        </w:rPr>
        <w:t xml:space="preserve">Water safety planning </w:t>
      </w:r>
      <w:r w:rsidR="00392CD9">
        <w:rPr>
          <w:lang w:val="en-US"/>
        </w:rPr>
        <w:t xml:space="preserve">(WSP) </w:t>
      </w:r>
      <w:r w:rsidR="00E026C8">
        <w:rPr>
          <w:lang w:val="en-US"/>
        </w:rPr>
        <w:t xml:space="preserve">is a concept promoted by the World Health </w:t>
      </w:r>
      <w:proofErr w:type="spellStart"/>
      <w:r w:rsidR="00E026C8">
        <w:rPr>
          <w:lang w:val="en-US"/>
        </w:rPr>
        <w:t>Organisation</w:t>
      </w:r>
      <w:proofErr w:type="spellEnd"/>
      <w:r w:rsidR="00E026C8">
        <w:t xml:space="preserve"> </w:t>
      </w:r>
      <w:r w:rsidR="00392CD9">
        <w:t xml:space="preserve">(WHO) </w:t>
      </w:r>
      <w:r w:rsidR="00E026C8">
        <w:t>to prevent contamination of water, from the source to the point of consumption. It is essentially a risk identification and management process</w:t>
      </w:r>
      <w:r w:rsidR="00CD080A">
        <w:t xml:space="preserve"> and </w:t>
      </w:r>
      <w:r w:rsidR="004705CF">
        <w:t>can be used for water supply schemes of any size, from small community schemes to large utility-managed schemes.</w:t>
      </w:r>
      <w:r w:rsidR="006B6048">
        <w:t xml:space="preserve"> </w:t>
      </w:r>
      <w:r w:rsidR="00392CD9">
        <w:t xml:space="preserve">Guidance on WSP is </w:t>
      </w:r>
      <w:hyperlink r:id="rId21" w:history="1">
        <w:r w:rsidR="00392CD9" w:rsidRPr="0081385F">
          <w:rPr>
            <w:rStyle w:val="Hyperlink"/>
          </w:rPr>
          <w:t>available from WHO</w:t>
        </w:r>
      </w:hyperlink>
      <w:r w:rsidR="00392CD9">
        <w:t>.</w:t>
      </w:r>
    </w:p>
    <w:p w14:paraId="21EB3004" w14:textId="77777777" w:rsidR="00392CD9" w:rsidRDefault="00392CD9" w:rsidP="005C3194"/>
    <w:p w14:paraId="3775166A" w14:textId="77777777" w:rsidR="006953C9" w:rsidRDefault="006953C9" w:rsidP="005C3194"/>
    <w:p w14:paraId="21E9AB5D" w14:textId="77777777" w:rsidR="006953C9" w:rsidRDefault="006953C9" w:rsidP="005C3194"/>
    <w:p w14:paraId="1C5FD3DF" w14:textId="77777777" w:rsidR="006953C9" w:rsidRDefault="006953C9" w:rsidP="005C3194"/>
    <w:p w14:paraId="234FD79F" w14:textId="77777777" w:rsidR="006953C9" w:rsidRDefault="006953C9" w:rsidP="005C3194"/>
    <w:p w14:paraId="490FBEC9" w14:textId="77777777" w:rsidR="006953C9" w:rsidRDefault="006953C9" w:rsidP="005C3194"/>
    <w:p w14:paraId="7C16FE8E" w14:textId="77777777" w:rsidR="006953C9" w:rsidRDefault="006953C9" w:rsidP="005C3194"/>
    <w:p w14:paraId="1930901D" w14:textId="77777777" w:rsidR="006953C9" w:rsidRDefault="006953C9" w:rsidP="005C3194"/>
    <w:p w14:paraId="77156C31" w14:textId="77777777" w:rsidR="006953C9" w:rsidRDefault="006953C9" w:rsidP="005C3194"/>
    <w:p w14:paraId="0BE494D5" w14:textId="77777777" w:rsidR="006953C9" w:rsidRDefault="006953C9" w:rsidP="005C3194"/>
    <w:p w14:paraId="5B2E5AC3" w14:textId="77777777" w:rsidR="006953C9" w:rsidRDefault="006953C9" w:rsidP="005C3194"/>
    <w:p w14:paraId="1C5CCB33" w14:textId="77777777" w:rsidR="006953C9" w:rsidRDefault="006953C9" w:rsidP="005C3194">
      <w:pPr>
        <w:sectPr w:rsidR="006953C9" w:rsidSect="00637561">
          <w:type w:val="continuous"/>
          <w:pgSz w:w="11900" w:h="16840"/>
          <w:pgMar w:top="1440" w:right="1080" w:bottom="1440" w:left="1080" w:header="708" w:footer="708" w:gutter="0"/>
          <w:cols w:num="2" w:space="708"/>
          <w:docGrid w:linePitch="360"/>
        </w:sectPr>
      </w:pPr>
    </w:p>
    <w:p w14:paraId="6F2D49CC" w14:textId="77777777" w:rsidR="006953C9" w:rsidRDefault="006953C9">
      <w:pPr>
        <w:spacing w:after="200" w:line="276" w:lineRule="auto"/>
        <w:jc w:val="left"/>
        <w:rPr>
          <w:rFonts w:eastAsiaTheme="majorEastAsia" w:cstheme="majorBidi"/>
          <w:bCs/>
          <w:color w:val="09213B" w:themeColor="text2"/>
          <w:sz w:val="32"/>
          <w:szCs w:val="28"/>
        </w:rPr>
      </w:pPr>
      <w:r>
        <w:lastRenderedPageBreak/>
        <w:br w:type="page"/>
      </w:r>
    </w:p>
    <w:p w14:paraId="49F1F2BD" w14:textId="7FCCCEFA" w:rsidR="000A56A0" w:rsidRPr="00CE5141" w:rsidRDefault="000A56A0" w:rsidP="00A971DC">
      <w:pPr>
        <w:pStyle w:val="Heading1"/>
      </w:pPr>
      <w:bookmarkStart w:id="16" w:name="_Toc420755115"/>
      <w:r w:rsidRPr="00CE5141">
        <w:lastRenderedPageBreak/>
        <w:t>Selecting a Service Provider</w:t>
      </w:r>
      <w:bookmarkEnd w:id="16"/>
    </w:p>
    <w:p w14:paraId="1C0D293C" w14:textId="11141426" w:rsidR="00C50830" w:rsidRPr="00E94B13" w:rsidRDefault="009A2C5C" w:rsidP="00E94B13">
      <w:pPr>
        <w:pStyle w:val="Heading3"/>
        <w:pBdr>
          <w:bottom w:val="single" w:sz="4" w:space="1" w:color="auto"/>
        </w:pBdr>
        <w:spacing w:before="120" w:after="120" w:line="360" w:lineRule="auto"/>
        <w:rPr>
          <w:i/>
          <w:iCs/>
          <w:color w:val="000000"/>
        </w:rPr>
        <w:sectPr w:rsidR="00C50830" w:rsidRPr="00E94B13" w:rsidSect="00637561">
          <w:type w:val="continuous"/>
          <w:pgSz w:w="11900" w:h="16840"/>
          <w:pgMar w:top="1440" w:right="1080" w:bottom="1440" w:left="1080" w:header="708" w:footer="708" w:gutter="0"/>
          <w:cols w:space="708"/>
          <w:docGrid w:linePitch="360"/>
        </w:sectPr>
      </w:pPr>
      <w:r w:rsidRPr="00A971DC">
        <w:rPr>
          <w:rStyle w:val="SubtleEmphasis"/>
        </w:rPr>
        <w:t>Condition: The service provider possesses sufficient capacity to maintain a basic level of service.</w:t>
      </w:r>
    </w:p>
    <w:p w14:paraId="59BE1BE4" w14:textId="2D1BB06D" w:rsidR="00E94B13" w:rsidRDefault="00E94B13" w:rsidP="00E94B13">
      <w:r>
        <w:lastRenderedPageBreak/>
        <w:t xml:space="preserve">The performance of the service provider is central to sustainability. Weak management is a common cause of service deterioration. The model of service provision, and the capacity of the service provider, should be primary considerations for program managers. </w:t>
      </w:r>
    </w:p>
    <w:p w14:paraId="422449F3" w14:textId="0535C05B" w:rsidR="000F287C" w:rsidRDefault="000F287C" w:rsidP="000F287C">
      <w:pPr>
        <w:pStyle w:val="Heading2"/>
      </w:pPr>
      <w:bookmarkStart w:id="17" w:name="_Toc420755116"/>
      <w:r>
        <w:t>Models of Service Provision</w:t>
      </w:r>
      <w:bookmarkEnd w:id="17"/>
    </w:p>
    <w:p w14:paraId="288CFB66" w14:textId="3D23B4E7" w:rsidR="0029155A" w:rsidRDefault="0029155A" w:rsidP="0029155A">
      <w:r>
        <w:t>The term ‘service provider’ refers to the organisation responsible for managing the water supply system. Their responsibilities include operations, maintenance and revenue collection.</w:t>
      </w:r>
    </w:p>
    <w:p w14:paraId="43954DEC" w14:textId="05D6AF8B" w:rsidR="0029155A" w:rsidRPr="00C50830" w:rsidRDefault="0029155A" w:rsidP="0029155A">
      <w:r>
        <w:t xml:space="preserve">In Rwanda there are three models of service provision </w:t>
      </w:r>
      <w:r w:rsidR="00930A74">
        <w:t>for rural</w:t>
      </w:r>
      <w:r>
        <w:t xml:space="preserve"> </w:t>
      </w:r>
      <w:r w:rsidRPr="00C50830">
        <w:t>small piped water systems:</w:t>
      </w:r>
    </w:p>
    <w:p w14:paraId="51DB36B7" w14:textId="77777777" w:rsidR="0029155A" w:rsidRPr="00C50830" w:rsidRDefault="0029155A" w:rsidP="0029155A">
      <w:pPr>
        <w:pStyle w:val="ListParagraph"/>
        <w:numPr>
          <w:ilvl w:val="0"/>
          <w:numId w:val="4"/>
        </w:numPr>
        <w:spacing w:line="360" w:lineRule="auto"/>
        <w:rPr>
          <w:color w:val="auto"/>
        </w:rPr>
      </w:pPr>
      <w:r w:rsidRPr="00C50830">
        <w:rPr>
          <w:color w:val="auto"/>
        </w:rPr>
        <w:t>Direct public service provision.</w:t>
      </w:r>
    </w:p>
    <w:p w14:paraId="61CEFE78" w14:textId="77777777" w:rsidR="0029155A" w:rsidRPr="00C50830" w:rsidRDefault="0029155A" w:rsidP="0029155A">
      <w:pPr>
        <w:pStyle w:val="ListParagraph"/>
        <w:numPr>
          <w:ilvl w:val="0"/>
          <w:numId w:val="4"/>
        </w:numPr>
        <w:spacing w:line="360" w:lineRule="auto"/>
        <w:rPr>
          <w:color w:val="auto"/>
        </w:rPr>
      </w:pPr>
      <w:r w:rsidRPr="00C50830">
        <w:rPr>
          <w:color w:val="auto"/>
        </w:rPr>
        <w:t>Community management.</w:t>
      </w:r>
      <w:r>
        <w:rPr>
          <w:color w:val="auto"/>
        </w:rPr>
        <w:t xml:space="preserve"> </w:t>
      </w:r>
    </w:p>
    <w:p w14:paraId="5D052253" w14:textId="77777777" w:rsidR="0029155A" w:rsidRPr="00C50830" w:rsidRDefault="0029155A" w:rsidP="0029155A">
      <w:pPr>
        <w:pStyle w:val="ListParagraph"/>
        <w:numPr>
          <w:ilvl w:val="0"/>
          <w:numId w:val="4"/>
        </w:numPr>
        <w:rPr>
          <w:color w:val="auto"/>
        </w:rPr>
      </w:pPr>
      <w:r w:rsidRPr="00C50830">
        <w:rPr>
          <w:color w:val="auto"/>
        </w:rPr>
        <w:t>Private sector operators.</w:t>
      </w:r>
    </w:p>
    <w:p w14:paraId="0EB6C345" w14:textId="77777777" w:rsidR="0029155A" w:rsidRPr="001F027F" w:rsidRDefault="0029155A" w:rsidP="0029155A">
      <w:pPr>
        <w:rPr>
          <w:color w:val="C00000" w:themeColor="accent6"/>
        </w:rPr>
      </w:pPr>
      <w:r w:rsidRPr="001F027F">
        <w:rPr>
          <w:b/>
          <w:color w:val="C00000" w:themeColor="accent6"/>
        </w:rPr>
        <w:t>Direct Public Service Provision</w:t>
      </w:r>
    </w:p>
    <w:p w14:paraId="4020A2E0" w14:textId="339E0CCD" w:rsidR="003928CD" w:rsidRPr="00CE5141" w:rsidRDefault="0039361C" w:rsidP="005C3194">
      <w:r w:rsidRPr="001F027F">
        <w:t xml:space="preserve">Under this model the government takes responsibility for service provision in the form of water utilities. In the case of Rwanda, </w:t>
      </w:r>
      <w:r w:rsidR="001F027F" w:rsidRPr="001F027F">
        <w:t xml:space="preserve">the Water and Sanitation Company (WASAC) is a state-owned enterprise responsible for service delivery. In practice only a small number of systems are actually managed by </w:t>
      </w:r>
      <w:r w:rsidR="00CE302B" w:rsidRPr="001F027F">
        <w:t>the Government</w:t>
      </w:r>
      <w:r w:rsidR="001F027F" w:rsidRPr="001F027F">
        <w:t>,</w:t>
      </w:r>
      <w:r w:rsidR="008B03FF">
        <w:t xml:space="preserve"> which</w:t>
      </w:r>
      <w:r w:rsidR="006077CE">
        <w:t xml:space="preserve"> tend to be</w:t>
      </w:r>
      <w:r w:rsidR="00CE302B" w:rsidRPr="001F027F">
        <w:t xml:space="preserve"> rural </w:t>
      </w:r>
      <w:r w:rsidRPr="001F027F">
        <w:t>water systems that cross district boundaries.</w:t>
      </w:r>
      <w:r>
        <w:t xml:space="preserve"> </w:t>
      </w:r>
      <w:r w:rsidR="007376A9">
        <w:t>The</w:t>
      </w:r>
      <w:r>
        <w:t xml:space="preserve"> Rwanda</w:t>
      </w:r>
      <w:r w:rsidR="007376A9">
        <w:t>n</w:t>
      </w:r>
      <w:r>
        <w:t xml:space="preserve"> Government has preferred to delegate the management of rural water supply services to communities and private operators.</w:t>
      </w:r>
    </w:p>
    <w:p w14:paraId="3F154ECE" w14:textId="3660AB74" w:rsidR="003928CD" w:rsidRPr="00CE5141" w:rsidRDefault="0039361C" w:rsidP="005C3194">
      <w:r>
        <w:rPr>
          <w:b/>
          <w:color w:val="C00000" w:themeColor="accent6"/>
        </w:rPr>
        <w:t>Community Management</w:t>
      </w:r>
    </w:p>
    <w:p w14:paraId="359E54C3" w14:textId="60B8F67C" w:rsidR="0039361C" w:rsidRDefault="0039361C" w:rsidP="005C3194">
      <w:r>
        <w:t>The model most commonly applied in rural Sub-Saharan Africa, the basic principles behind community management are:</w:t>
      </w:r>
    </w:p>
    <w:p w14:paraId="1206BD24" w14:textId="77777777" w:rsidR="0039361C" w:rsidRPr="0039361C" w:rsidRDefault="0039361C" w:rsidP="0039361C">
      <w:pPr>
        <w:pStyle w:val="ListParagraph"/>
        <w:numPr>
          <w:ilvl w:val="0"/>
          <w:numId w:val="5"/>
        </w:numPr>
        <w:pBdr>
          <w:top w:val="nil"/>
          <w:left w:val="nil"/>
          <w:bottom w:val="nil"/>
          <w:right w:val="nil"/>
          <w:between w:val="nil"/>
          <w:bar w:val="nil"/>
        </w:pBdr>
        <w:spacing w:after="60"/>
        <w:ind w:left="714" w:hanging="357"/>
        <w:contextualSpacing w:val="0"/>
        <w:rPr>
          <w:color w:val="auto"/>
        </w:rPr>
      </w:pPr>
      <w:r w:rsidRPr="0039361C">
        <w:rPr>
          <w:color w:val="auto"/>
        </w:rPr>
        <w:lastRenderedPageBreak/>
        <w:t xml:space="preserve">the community must have a role in the water system’s design; </w:t>
      </w:r>
    </w:p>
    <w:p w14:paraId="2792D7CF" w14:textId="77777777" w:rsidR="0039361C" w:rsidRPr="0039361C" w:rsidRDefault="0039361C" w:rsidP="0039361C">
      <w:pPr>
        <w:pStyle w:val="ListParagraph"/>
        <w:numPr>
          <w:ilvl w:val="0"/>
          <w:numId w:val="5"/>
        </w:numPr>
        <w:pBdr>
          <w:top w:val="nil"/>
          <w:left w:val="nil"/>
          <w:bottom w:val="nil"/>
          <w:right w:val="nil"/>
          <w:between w:val="nil"/>
          <w:bar w:val="nil"/>
        </w:pBdr>
        <w:spacing w:after="60"/>
        <w:ind w:left="714" w:hanging="357"/>
        <w:contextualSpacing w:val="0"/>
        <w:rPr>
          <w:color w:val="auto"/>
        </w:rPr>
      </w:pPr>
      <w:r w:rsidRPr="0039361C">
        <w:rPr>
          <w:color w:val="auto"/>
        </w:rPr>
        <w:t xml:space="preserve">the community should own the water system; and </w:t>
      </w:r>
    </w:p>
    <w:p w14:paraId="44AF3EBD" w14:textId="065C2617" w:rsidR="0039361C" w:rsidRPr="0039361C" w:rsidRDefault="0039361C" w:rsidP="0039361C">
      <w:pPr>
        <w:pStyle w:val="ListParagraph"/>
        <w:numPr>
          <w:ilvl w:val="0"/>
          <w:numId w:val="5"/>
        </w:numPr>
        <w:pBdr>
          <w:top w:val="nil"/>
          <w:left w:val="nil"/>
          <w:bottom w:val="nil"/>
          <w:right w:val="nil"/>
          <w:between w:val="nil"/>
          <w:bar w:val="nil"/>
        </w:pBdr>
        <w:spacing w:after="60"/>
        <w:ind w:left="714" w:hanging="357"/>
        <w:contextualSpacing w:val="0"/>
        <w:rPr>
          <w:color w:val="auto"/>
        </w:rPr>
      </w:pPr>
      <w:r w:rsidRPr="0039361C">
        <w:rPr>
          <w:color w:val="auto"/>
        </w:rPr>
        <w:t>the community should have overall responsibility for the system’s operations and maintenance</w:t>
      </w:r>
      <w:r w:rsidR="00B43449">
        <w:rPr>
          <w:color w:val="auto"/>
        </w:rPr>
        <w:t>.</w:t>
      </w:r>
    </w:p>
    <w:p w14:paraId="1BEDF202" w14:textId="14C38114" w:rsidR="0039361C" w:rsidRDefault="0039361C" w:rsidP="005C3194">
      <w:r>
        <w:t xml:space="preserve">Under this model an external agency, such as a Red Cross Society, </w:t>
      </w:r>
      <w:r w:rsidR="00F31861">
        <w:t>designs and builds</w:t>
      </w:r>
      <w:r>
        <w:t xml:space="preserve"> the system infrastructure, which is then handed over to a community water committee that adopts responsibility for tariff collection, operations and maintenance. A community member </w:t>
      </w:r>
      <w:r w:rsidR="00F31861">
        <w:t>is</w:t>
      </w:r>
      <w:r>
        <w:t xml:space="preserve"> trained in repairs and the private sector is relied upon for the supply of spare parts. </w:t>
      </w:r>
    </w:p>
    <w:p w14:paraId="16268B98" w14:textId="7CA22B7A" w:rsidR="0039361C" w:rsidRDefault="0039361C" w:rsidP="005C3194">
      <w:r>
        <w:t>In Rwanda’s case the arrangements can vary. In some cases the community manages the system independently of the government and in others the community committ</w:t>
      </w:r>
      <w:r w:rsidR="005509A5">
        <w:t>ees receive support with budgeting</w:t>
      </w:r>
      <w:r>
        <w:t xml:space="preserve"> and the sharing of maintenance and repair costs.</w:t>
      </w:r>
    </w:p>
    <w:p w14:paraId="33233A76" w14:textId="119882EF" w:rsidR="0039361C" w:rsidRDefault="0039361C" w:rsidP="005C3194">
      <w:r>
        <w:t>Experience</w:t>
      </w:r>
      <w:r w:rsidR="008C69F7">
        <w:t>s</w:t>
      </w:r>
      <w:r>
        <w:t xml:space="preserve"> in Rwanda and more broadly in Sub-Saharan Africa </w:t>
      </w:r>
      <w:r w:rsidR="008C69F7">
        <w:t>have</w:t>
      </w:r>
      <w:r>
        <w:t xml:space="preserve"> </w:t>
      </w:r>
      <w:r w:rsidR="008C69F7">
        <w:t xml:space="preserve">raised </w:t>
      </w:r>
      <w:r>
        <w:t>a number of limitations with this model, including:</w:t>
      </w:r>
    </w:p>
    <w:p w14:paraId="27A954FD" w14:textId="3C851E79" w:rsidR="0039361C" w:rsidRPr="008C69F7" w:rsidRDefault="0039361C" w:rsidP="008C69F7">
      <w:pPr>
        <w:pStyle w:val="ListParagraph"/>
        <w:numPr>
          <w:ilvl w:val="0"/>
          <w:numId w:val="6"/>
        </w:numPr>
        <w:pBdr>
          <w:top w:val="nil"/>
          <w:left w:val="nil"/>
          <w:bottom w:val="nil"/>
          <w:right w:val="nil"/>
          <w:between w:val="nil"/>
          <w:bar w:val="nil"/>
        </w:pBdr>
        <w:spacing w:after="60"/>
        <w:ind w:left="714" w:hanging="357"/>
        <w:contextualSpacing w:val="0"/>
        <w:rPr>
          <w:color w:val="auto"/>
        </w:rPr>
      </w:pPr>
      <w:r w:rsidRPr="008C69F7">
        <w:rPr>
          <w:color w:val="auto"/>
        </w:rPr>
        <w:t>a lack of long-term incentives for community members to volunteer their time;</w:t>
      </w:r>
    </w:p>
    <w:p w14:paraId="262E3AB7" w14:textId="136EED72" w:rsidR="0039361C" w:rsidRPr="008C69F7" w:rsidRDefault="008C69F7" w:rsidP="0039361C">
      <w:pPr>
        <w:pStyle w:val="ListParagraph"/>
        <w:numPr>
          <w:ilvl w:val="0"/>
          <w:numId w:val="6"/>
        </w:numPr>
        <w:pBdr>
          <w:top w:val="nil"/>
          <w:left w:val="nil"/>
          <w:bottom w:val="nil"/>
          <w:right w:val="nil"/>
          <w:between w:val="nil"/>
          <w:bar w:val="nil"/>
        </w:pBdr>
        <w:spacing w:after="60"/>
        <w:ind w:left="714" w:hanging="357"/>
        <w:contextualSpacing w:val="0"/>
        <w:rPr>
          <w:color w:val="auto"/>
        </w:rPr>
      </w:pPr>
      <w:r w:rsidRPr="008C69F7">
        <w:rPr>
          <w:color w:val="auto"/>
        </w:rPr>
        <w:t xml:space="preserve">difficulties convincing </w:t>
      </w:r>
      <w:r w:rsidR="0039361C" w:rsidRPr="008C69F7">
        <w:rPr>
          <w:color w:val="auto"/>
        </w:rPr>
        <w:t>some members of the community to pay the water tariff</w:t>
      </w:r>
      <w:r w:rsidRPr="008C69F7">
        <w:rPr>
          <w:color w:val="auto"/>
        </w:rPr>
        <w:t xml:space="preserve"> or levy</w:t>
      </w:r>
      <w:r w:rsidR="0039361C" w:rsidRPr="008C69F7">
        <w:rPr>
          <w:color w:val="auto"/>
        </w:rPr>
        <w:t>;</w:t>
      </w:r>
    </w:p>
    <w:p w14:paraId="11F921CD" w14:textId="1D9268CD" w:rsidR="003A4E0A" w:rsidRDefault="003A4E0A" w:rsidP="008C69F7">
      <w:pPr>
        <w:pStyle w:val="ListParagraph"/>
        <w:numPr>
          <w:ilvl w:val="0"/>
          <w:numId w:val="6"/>
        </w:numPr>
        <w:pBdr>
          <w:top w:val="nil"/>
          <w:left w:val="nil"/>
          <w:bottom w:val="nil"/>
          <w:right w:val="nil"/>
          <w:between w:val="nil"/>
          <w:bar w:val="nil"/>
        </w:pBdr>
        <w:spacing w:after="60"/>
        <w:ind w:left="714" w:hanging="357"/>
        <w:contextualSpacing w:val="0"/>
        <w:rPr>
          <w:color w:val="auto"/>
        </w:rPr>
      </w:pPr>
      <w:r>
        <w:rPr>
          <w:color w:val="auto"/>
        </w:rPr>
        <w:t>politicisation of water and conflict between community members;</w:t>
      </w:r>
    </w:p>
    <w:p w14:paraId="4F87A9A6" w14:textId="7BE481D5" w:rsidR="0039361C" w:rsidRPr="008C69F7" w:rsidRDefault="0039361C" w:rsidP="008C69F7">
      <w:pPr>
        <w:pStyle w:val="ListParagraph"/>
        <w:numPr>
          <w:ilvl w:val="0"/>
          <w:numId w:val="6"/>
        </w:numPr>
        <w:pBdr>
          <w:top w:val="nil"/>
          <w:left w:val="nil"/>
          <w:bottom w:val="nil"/>
          <w:right w:val="nil"/>
          <w:between w:val="nil"/>
          <w:bar w:val="nil"/>
        </w:pBdr>
        <w:spacing w:after="60"/>
        <w:ind w:left="714" w:hanging="357"/>
        <w:contextualSpacing w:val="0"/>
        <w:rPr>
          <w:color w:val="auto"/>
        </w:rPr>
      </w:pPr>
      <w:r w:rsidRPr="008C69F7">
        <w:rPr>
          <w:color w:val="auto"/>
        </w:rPr>
        <w:t>a lack of technical capacity for maintenance;  and</w:t>
      </w:r>
    </w:p>
    <w:p w14:paraId="215A77A3" w14:textId="50B00DB1" w:rsidR="0039361C" w:rsidRPr="008C69F7" w:rsidRDefault="0039361C" w:rsidP="008C69F7">
      <w:pPr>
        <w:pStyle w:val="ListParagraph"/>
        <w:numPr>
          <w:ilvl w:val="0"/>
          <w:numId w:val="6"/>
        </w:numPr>
        <w:pBdr>
          <w:top w:val="nil"/>
          <w:left w:val="nil"/>
          <w:bottom w:val="nil"/>
          <w:right w:val="nil"/>
          <w:between w:val="nil"/>
          <w:bar w:val="nil"/>
        </w:pBdr>
        <w:spacing w:after="60"/>
        <w:ind w:left="714" w:hanging="357"/>
        <w:contextualSpacing w:val="0"/>
        <w:rPr>
          <w:color w:val="auto"/>
        </w:rPr>
      </w:pPr>
      <w:r w:rsidRPr="008C69F7">
        <w:rPr>
          <w:color w:val="auto"/>
        </w:rPr>
        <w:t>a lack of ongoing support from local government or non-government organisations (NGOs)</w:t>
      </w:r>
      <w:r w:rsidR="008C69F7" w:rsidRPr="008C69F7">
        <w:rPr>
          <w:color w:val="auto"/>
        </w:rPr>
        <w:t>.</w:t>
      </w:r>
    </w:p>
    <w:p w14:paraId="563BDD98" w14:textId="42EAC0BE" w:rsidR="008C69F7" w:rsidRDefault="005509A5" w:rsidP="008C69F7">
      <w:pPr>
        <w:spacing w:before="120"/>
      </w:pPr>
      <w:r>
        <w:lastRenderedPageBreak/>
        <w:t>L</w:t>
      </w:r>
      <w:r w:rsidR="008C69F7">
        <w:t xml:space="preserve">essons learned include the need for improved planning for life cycle costs and </w:t>
      </w:r>
      <w:r w:rsidR="00604EB5">
        <w:t xml:space="preserve">the need for </w:t>
      </w:r>
      <w:r w:rsidR="008C69F7">
        <w:t>cost sharing arrangements with government.</w:t>
      </w:r>
    </w:p>
    <w:p w14:paraId="5A814E5E" w14:textId="6F74330B" w:rsidR="0039361C" w:rsidRDefault="00604EB5" w:rsidP="005C3194">
      <w:r>
        <w:rPr>
          <w:b/>
          <w:color w:val="C00000" w:themeColor="accent6"/>
        </w:rPr>
        <w:t>Private Sector Operators</w:t>
      </w:r>
    </w:p>
    <w:p w14:paraId="47B66282" w14:textId="1AA9417B" w:rsidR="005C1EC3" w:rsidRDefault="005079B7" w:rsidP="005C3194">
      <w:r>
        <w:t xml:space="preserve">The use of private sector operators has grown as an alternative to </w:t>
      </w:r>
      <w:r w:rsidRPr="001769D2">
        <w:t>the community</w:t>
      </w:r>
      <w:r>
        <w:t xml:space="preserve"> </w:t>
      </w:r>
      <w:r w:rsidRPr="001769D2">
        <w:t xml:space="preserve">management model, particularly in the case of </w:t>
      </w:r>
      <w:r>
        <w:t xml:space="preserve">small </w:t>
      </w:r>
      <w:r w:rsidRPr="001769D2">
        <w:t>piped water systems</w:t>
      </w:r>
      <w:r>
        <w:t>. Also referred to as a form of a Public Private Partnership</w:t>
      </w:r>
      <w:r w:rsidR="00A8597A">
        <w:t xml:space="preserve"> (PPP</w:t>
      </w:r>
      <w:r w:rsidRPr="001769D2">
        <w:t xml:space="preserve">), the use of </w:t>
      </w:r>
      <w:r>
        <w:t xml:space="preserve">small-scale </w:t>
      </w:r>
      <w:r w:rsidRPr="001769D2">
        <w:t>private operators</w:t>
      </w:r>
      <w:r>
        <w:t xml:space="preserve"> is</w:t>
      </w:r>
      <w:r w:rsidR="00FD408D">
        <w:t xml:space="preserve"> currently</w:t>
      </w:r>
      <w:r>
        <w:t xml:space="preserve"> being promoted by the Rwandan Government. </w:t>
      </w:r>
    </w:p>
    <w:p w14:paraId="2DA862C3" w14:textId="33147443" w:rsidR="0039361C" w:rsidRDefault="005079B7" w:rsidP="005C3194">
      <w:r>
        <w:t>The standard contractual arrangement</w:t>
      </w:r>
      <w:r w:rsidR="00911F28">
        <w:t xml:space="preserve"> in Rwanda</w:t>
      </w:r>
      <w:r>
        <w:t xml:space="preserve"> is for the business to manage the day to day operations</w:t>
      </w:r>
      <w:r w:rsidR="00BD5AA7">
        <w:t xml:space="preserve"> and maintenance activities</w:t>
      </w:r>
      <w:r>
        <w:t xml:space="preserve">, including tariff collection, with the district government in charge of system extensions and expensive repairs. On average, existing private operators are managing three water systems, </w:t>
      </w:r>
      <w:r>
        <w:lastRenderedPageBreak/>
        <w:t>which has the advantage of generating economies of scale and</w:t>
      </w:r>
      <w:r w:rsidR="00FD408D">
        <w:t xml:space="preserve"> providing a buffer when the costs for a given system exceed the revenue raised.</w:t>
      </w:r>
      <w:r>
        <w:t xml:space="preserve"> </w:t>
      </w:r>
    </w:p>
    <w:p w14:paraId="2FE19AEC" w14:textId="2C59504D" w:rsidR="0039361C" w:rsidRDefault="00FD408D" w:rsidP="005C3194">
      <w:r>
        <w:t>International experience has demonstrated that t</w:t>
      </w:r>
      <w:r w:rsidR="005079B7">
        <w:t xml:space="preserve">he private sector is not a fail-safe alternative to community management or direct public service provision. For example, some operators have been found to have failed to conduct regular water tests and the functionality of water supply systems under some operators is comparable to poorly managed communal services. Corruption, inequitable pricing schemes and non-compliance with tariff regulations are also known issues, which demonstrates the need for </w:t>
      </w:r>
      <w:r>
        <w:t>sound regulation, scheduled audits</w:t>
      </w:r>
      <w:r w:rsidR="005079B7">
        <w:t xml:space="preserve"> and complaints mechanisms</w:t>
      </w:r>
      <w:r>
        <w:t>.</w:t>
      </w:r>
    </w:p>
    <w:p w14:paraId="363D9C3D" w14:textId="1FBD6833" w:rsidR="003928CD" w:rsidRDefault="003928CD" w:rsidP="00CE302B">
      <w:pPr>
        <w:pStyle w:val="ListParagraph"/>
        <w:ind w:left="440" w:firstLine="0"/>
      </w:pPr>
    </w:p>
    <w:p w14:paraId="1041B319" w14:textId="77777777" w:rsidR="00832462" w:rsidRDefault="00832462" w:rsidP="005C3194">
      <w:pPr>
        <w:ind w:left="80"/>
        <w:sectPr w:rsidR="00832462" w:rsidSect="0029155A">
          <w:type w:val="continuous"/>
          <w:pgSz w:w="11900" w:h="16840"/>
          <w:pgMar w:top="1440" w:right="1080" w:bottom="1440" w:left="1080" w:header="708" w:footer="708" w:gutter="0"/>
          <w:cols w:num="2" w:space="708"/>
          <w:docGrid w:linePitch="360"/>
        </w:sectPr>
      </w:pPr>
    </w:p>
    <w:p w14:paraId="14CB4436" w14:textId="77777777" w:rsidR="003A4E0A" w:rsidRDefault="003A4E0A" w:rsidP="000F287C">
      <w:pPr>
        <w:spacing w:before="240" w:after="120"/>
        <w:rPr>
          <w:b/>
        </w:rPr>
      </w:pPr>
    </w:p>
    <w:p w14:paraId="33BE495F" w14:textId="061C189D" w:rsidR="00832462" w:rsidRPr="00477349" w:rsidRDefault="00832462" w:rsidP="000F287C">
      <w:pPr>
        <w:spacing w:before="240" w:after="120"/>
        <w:rPr>
          <w:b/>
        </w:rPr>
      </w:pPr>
      <w:r w:rsidRPr="00492111">
        <w:rPr>
          <w:b/>
        </w:rPr>
        <w:t xml:space="preserve">Table </w:t>
      </w:r>
      <w:r w:rsidRPr="00832462">
        <w:rPr>
          <w:b/>
          <w:highlight w:val="yellow"/>
        </w:rPr>
        <w:t>X</w:t>
      </w:r>
      <w:r w:rsidRPr="00492111">
        <w:rPr>
          <w:b/>
        </w:rPr>
        <w:t>. Community</w:t>
      </w:r>
      <w:r w:rsidRPr="00477349">
        <w:rPr>
          <w:b/>
        </w:rPr>
        <w:t xml:space="preserve"> and private sector management models compared </w:t>
      </w:r>
      <w:r w:rsidRPr="00477349">
        <w:rPr>
          <w:b/>
        </w:rPr>
        <w:fldChar w:fldCharType="begin"/>
      </w:r>
      <w:r>
        <w:rPr>
          <w:b/>
        </w:rPr>
        <w:instrText xml:space="preserve"> ADDIN EN.CITE &lt;EndNote&gt;&lt;Cite&gt;&lt;Author&gt;Harvey&lt;/Author&gt;&lt;Year&gt;2006&lt;/Year&gt;&lt;RecNum&gt;22&lt;/RecNum&gt;&lt;DisplayText&gt;(Harvey et al., 2006)&lt;/DisplayText&gt;&lt;record&gt;&lt;rec-number&gt;22&lt;/rec-number&gt;&lt;foreign-keys&gt;&lt;key app="EN" db-id="tfxr2eaae22wwsee05e5zp5l9vaeaev5zr2w" timestamp="1409224145"&gt;22&lt;/key&gt;&lt;/foreign-keys&gt;&lt;ref-type name="Journal Article"&gt;17&lt;/ref-type&gt;&lt;contributors&gt;&lt;authors&gt;&lt;author&gt;Peter Harvey&lt;/author&gt;&lt;author&gt;Junko Uno&lt;/author&gt;&lt;author&gt;Robert Reid&lt;/author&gt;&lt;/authors&gt;&lt;/contributors&gt;&lt;titles&gt;&lt;title&gt;Management of rural water services in Sub-Saharan Africa&lt;/title&gt;&lt;secondary-title&gt;Civil Engineering&lt;/secondary-title&gt;&lt;/titles&gt;&lt;periodical&gt;&lt;full-title&gt;Civil Engineering&lt;/full-title&gt;&lt;/periodical&gt;&lt;volume&gt;159&lt;/volume&gt;&lt;dates&gt;&lt;year&gt;2006&lt;/year&gt;&lt;/dates&gt;&lt;urls&gt;&lt;/urls&gt;&lt;/record&gt;&lt;/Cite&gt;&lt;/EndNote&gt;</w:instrText>
      </w:r>
      <w:r w:rsidRPr="00477349">
        <w:rPr>
          <w:b/>
        </w:rPr>
        <w:fldChar w:fldCharType="separate"/>
      </w:r>
      <w:r>
        <w:rPr>
          <w:b/>
          <w:noProof/>
        </w:rPr>
        <w:t>(adapted from Harvey et al., 2006)</w:t>
      </w:r>
      <w:r w:rsidRPr="00477349">
        <w:rPr>
          <w:b/>
        </w:rPr>
        <w:fldChar w:fldCharType="end"/>
      </w:r>
    </w:p>
    <w:tbl>
      <w:tblPr>
        <w:tblStyle w:val="LightList-Accent1"/>
        <w:tblW w:w="0" w:type="auto"/>
        <w:tblInd w:w="108" w:type="dxa"/>
        <w:tblLook w:val="04A0" w:firstRow="1" w:lastRow="0" w:firstColumn="1" w:lastColumn="0" w:noHBand="0" w:noVBand="1"/>
      </w:tblPr>
      <w:tblGrid>
        <w:gridCol w:w="2566"/>
        <w:gridCol w:w="3285"/>
        <w:gridCol w:w="3285"/>
      </w:tblGrid>
      <w:tr w:rsidR="00832462" w14:paraId="3D843F41" w14:textId="77777777" w:rsidTr="00A74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14:paraId="26118DA4" w14:textId="77777777" w:rsidR="00832462" w:rsidRPr="00D4152B" w:rsidRDefault="00832462" w:rsidP="00523339">
            <w:pPr>
              <w:pBdr>
                <w:top w:val="none" w:sz="0" w:space="0" w:color="auto"/>
                <w:left w:val="none" w:sz="0" w:space="0" w:color="auto"/>
                <w:bottom w:val="none" w:sz="0" w:space="0" w:color="auto"/>
                <w:right w:val="none" w:sz="0" w:space="0" w:color="auto"/>
                <w:between w:val="none" w:sz="0" w:space="0" w:color="auto"/>
                <w:bar w:val="none" w:sz="0" w:color="auto"/>
              </w:pBdr>
              <w:spacing w:before="60"/>
              <w:rPr>
                <w:sz w:val="20"/>
                <w:szCs w:val="20"/>
              </w:rPr>
            </w:pPr>
            <w:r w:rsidRPr="00D4152B">
              <w:rPr>
                <w:sz w:val="20"/>
                <w:szCs w:val="20"/>
              </w:rPr>
              <w:t>Service Provider Model</w:t>
            </w:r>
          </w:p>
        </w:tc>
        <w:tc>
          <w:tcPr>
            <w:tcW w:w="3285" w:type="dxa"/>
          </w:tcPr>
          <w:p w14:paraId="0A73950A" w14:textId="77777777" w:rsidR="00832462" w:rsidRPr="00D4152B" w:rsidRDefault="00832462" w:rsidP="00523339">
            <w:pPr>
              <w:pBdr>
                <w:top w:val="none" w:sz="0" w:space="0" w:color="auto"/>
                <w:left w:val="none" w:sz="0" w:space="0" w:color="auto"/>
                <w:bottom w:val="none" w:sz="0" w:space="0" w:color="auto"/>
                <w:right w:val="none" w:sz="0" w:space="0" w:color="auto"/>
                <w:between w:val="none" w:sz="0" w:space="0" w:color="auto"/>
                <w:bar w:val="none" w:sz="0" w:color="auto"/>
              </w:pBdr>
              <w:spacing w:before="60"/>
              <w:cnfStyle w:val="100000000000" w:firstRow="1" w:lastRow="0" w:firstColumn="0" w:lastColumn="0" w:oddVBand="0" w:evenVBand="0" w:oddHBand="0" w:evenHBand="0" w:firstRowFirstColumn="0" w:firstRowLastColumn="0" w:lastRowFirstColumn="0" w:lastRowLastColumn="0"/>
              <w:rPr>
                <w:sz w:val="20"/>
                <w:szCs w:val="20"/>
              </w:rPr>
            </w:pPr>
            <w:r w:rsidRPr="00D4152B">
              <w:rPr>
                <w:sz w:val="20"/>
                <w:szCs w:val="20"/>
              </w:rPr>
              <w:t>Advantages</w:t>
            </w:r>
          </w:p>
        </w:tc>
        <w:tc>
          <w:tcPr>
            <w:tcW w:w="3285" w:type="dxa"/>
          </w:tcPr>
          <w:p w14:paraId="0F29468D" w14:textId="77777777" w:rsidR="00832462" w:rsidRPr="00D4152B" w:rsidRDefault="00832462" w:rsidP="00523339">
            <w:pPr>
              <w:pBdr>
                <w:top w:val="none" w:sz="0" w:space="0" w:color="auto"/>
                <w:left w:val="none" w:sz="0" w:space="0" w:color="auto"/>
                <w:bottom w:val="none" w:sz="0" w:space="0" w:color="auto"/>
                <w:right w:val="none" w:sz="0" w:space="0" w:color="auto"/>
                <w:between w:val="none" w:sz="0" w:space="0" w:color="auto"/>
                <w:bar w:val="none" w:sz="0" w:color="auto"/>
              </w:pBdr>
              <w:spacing w:before="60"/>
              <w:cnfStyle w:val="100000000000" w:firstRow="1" w:lastRow="0" w:firstColumn="0" w:lastColumn="0" w:oddVBand="0" w:evenVBand="0" w:oddHBand="0" w:evenHBand="0" w:firstRowFirstColumn="0" w:firstRowLastColumn="0" w:lastRowFirstColumn="0" w:lastRowLastColumn="0"/>
              <w:rPr>
                <w:sz w:val="20"/>
                <w:szCs w:val="20"/>
              </w:rPr>
            </w:pPr>
            <w:r w:rsidRPr="00D4152B">
              <w:rPr>
                <w:sz w:val="20"/>
                <w:szCs w:val="20"/>
              </w:rPr>
              <w:t>Disadvantages</w:t>
            </w:r>
          </w:p>
        </w:tc>
      </w:tr>
      <w:tr w:rsidR="00832462" w14:paraId="274090F9" w14:textId="77777777" w:rsidTr="00A74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tcPr>
          <w:p w14:paraId="157B64A7" w14:textId="77777777" w:rsidR="00832462" w:rsidRPr="00D4152B" w:rsidRDefault="00832462" w:rsidP="00523339">
            <w:pPr>
              <w:pBdr>
                <w:top w:val="none" w:sz="0" w:space="0" w:color="auto"/>
                <w:left w:val="none" w:sz="0" w:space="0" w:color="auto"/>
                <w:bottom w:val="none" w:sz="0" w:space="0" w:color="auto"/>
                <w:right w:val="none" w:sz="0" w:space="0" w:color="auto"/>
                <w:between w:val="none" w:sz="0" w:space="0" w:color="auto"/>
                <w:bar w:val="none" w:sz="0" w:color="auto"/>
              </w:pBdr>
              <w:spacing w:before="60"/>
              <w:rPr>
                <w:sz w:val="20"/>
                <w:szCs w:val="20"/>
              </w:rPr>
            </w:pPr>
            <w:r w:rsidRPr="00D4152B">
              <w:rPr>
                <w:sz w:val="20"/>
                <w:szCs w:val="20"/>
              </w:rPr>
              <w:t>Community Management</w:t>
            </w:r>
          </w:p>
        </w:tc>
        <w:tc>
          <w:tcPr>
            <w:tcW w:w="3285" w:type="dxa"/>
          </w:tcPr>
          <w:p w14:paraId="39D10B72"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Potential for fast initial response to problems, particularly for remote communities</w:t>
            </w:r>
          </w:p>
          <w:p w14:paraId="23B0F7C5"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Community in control of own affairs</w:t>
            </w:r>
          </w:p>
          <w:p w14:paraId="571E14DC" w14:textId="77777777" w:rsidR="00832462" w:rsidRPr="00832462" w:rsidRDefault="00832462" w:rsidP="0083246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402" w:hanging="284"/>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Develop pride in own achievements</w:t>
            </w:r>
          </w:p>
        </w:tc>
        <w:tc>
          <w:tcPr>
            <w:tcW w:w="3285" w:type="dxa"/>
          </w:tcPr>
          <w:p w14:paraId="38132306"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Needs motivated people</w:t>
            </w:r>
          </w:p>
          <w:p w14:paraId="5133749F"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Voluntary inputs are difficult to sustain</w:t>
            </w:r>
          </w:p>
          <w:p w14:paraId="3E0DD0A1"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Needs appropriate local skills and tools</w:t>
            </w:r>
          </w:p>
          <w:p w14:paraId="3309744D"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Difficulty in accessing spare parts</w:t>
            </w:r>
          </w:p>
          <w:p w14:paraId="0CBF7036"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832462">
              <w:rPr>
                <w:color w:val="auto"/>
                <w:sz w:val="20"/>
                <w:szCs w:val="20"/>
              </w:rPr>
              <w:t>Requires ongoing government support</w:t>
            </w:r>
          </w:p>
        </w:tc>
      </w:tr>
      <w:tr w:rsidR="00832462" w14:paraId="469DD4CA" w14:textId="77777777" w:rsidTr="00A74D06">
        <w:tc>
          <w:tcPr>
            <w:cnfStyle w:val="001000000000" w:firstRow="0" w:lastRow="0" w:firstColumn="1" w:lastColumn="0" w:oddVBand="0" w:evenVBand="0" w:oddHBand="0" w:evenHBand="0" w:firstRowFirstColumn="0" w:firstRowLastColumn="0" w:lastRowFirstColumn="0" w:lastRowLastColumn="0"/>
            <w:tcW w:w="2566" w:type="dxa"/>
          </w:tcPr>
          <w:p w14:paraId="730673A0" w14:textId="77777777" w:rsidR="00832462" w:rsidRPr="00D4152B" w:rsidRDefault="00832462" w:rsidP="00523339">
            <w:pPr>
              <w:pBdr>
                <w:top w:val="none" w:sz="0" w:space="0" w:color="auto"/>
                <w:left w:val="none" w:sz="0" w:space="0" w:color="auto"/>
                <w:bottom w:val="none" w:sz="0" w:space="0" w:color="auto"/>
                <w:right w:val="none" w:sz="0" w:space="0" w:color="auto"/>
                <w:between w:val="none" w:sz="0" w:space="0" w:color="auto"/>
                <w:bar w:val="none" w:sz="0" w:color="auto"/>
              </w:pBdr>
              <w:spacing w:before="60"/>
              <w:rPr>
                <w:sz w:val="20"/>
                <w:szCs w:val="20"/>
              </w:rPr>
            </w:pPr>
            <w:r w:rsidRPr="00D4152B">
              <w:rPr>
                <w:sz w:val="20"/>
                <w:szCs w:val="20"/>
              </w:rPr>
              <w:t>Private Sector</w:t>
            </w:r>
          </w:p>
        </w:tc>
        <w:tc>
          <w:tcPr>
            <w:tcW w:w="3285" w:type="dxa"/>
          </w:tcPr>
          <w:p w14:paraId="598EB2CA"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Easier access to spare parts</w:t>
            </w:r>
          </w:p>
          <w:p w14:paraId="526DDE5A"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Concentration of skills and resources</w:t>
            </w:r>
          </w:p>
          <w:p w14:paraId="5BF7FCE8"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Profit creates an incentive to maintain the system</w:t>
            </w:r>
          </w:p>
          <w:p w14:paraId="53AE44CB"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Reduces burden on the community</w:t>
            </w:r>
          </w:p>
          <w:p w14:paraId="5F920AE4"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Potential for economies of scale</w:t>
            </w:r>
          </w:p>
        </w:tc>
        <w:tc>
          <w:tcPr>
            <w:tcW w:w="3285" w:type="dxa"/>
          </w:tcPr>
          <w:p w14:paraId="00B8C34B"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Potentially higher cost of water</w:t>
            </w:r>
          </w:p>
          <w:p w14:paraId="4B28CE64"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Private sector capacity may need to be built</w:t>
            </w:r>
          </w:p>
          <w:p w14:paraId="7782AA5E" w14:textId="77777777" w:rsidR="00832462" w:rsidRPr="00832462" w:rsidRDefault="00832462" w:rsidP="0052333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403" w:hanging="288"/>
              <w:contextualSpacing w:val="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Needs active government regulation and oversight</w:t>
            </w:r>
          </w:p>
          <w:p w14:paraId="6ACECDDC" w14:textId="77777777" w:rsidR="00832462" w:rsidRPr="00832462" w:rsidRDefault="00832462" w:rsidP="0083246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402" w:hanging="284"/>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832462">
              <w:rPr>
                <w:color w:val="auto"/>
                <w:sz w:val="20"/>
                <w:szCs w:val="20"/>
              </w:rPr>
              <w:t>May not be well suited for dispersed hand pump systems</w:t>
            </w:r>
          </w:p>
          <w:p w14:paraId="1ABC588D" w14:textId="77777777" w:rsidR="00832462" w:rsidRPr="00832462" w:rsidRDefault="00832462" w:rsidP="00A74D0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02"/>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A06E4BD" w14:textId="77777777" w:rsidR="00A3605B" w:rsidRDefault="00A3605B" w:rsidP="00A3605B">
      <w:pPr>
        <w:sectPr w:rsidR="00A3605B" w:rsidSect="00832462">
          <w:type w:val="continuous"/>
          <w:pgSz w:w="11900" w:h="16840"/>
          <w:pgMar w:top="1440" w:right="1080" w:bottom="1440" w:left="1080" w:header="708" w:footer="708" w:gutter="0"/>
          <w:cols w:space="708"/>
          <w:docGrid w:linePitch="360"/>
        </w:sectPr>
      </w:pPr>
    </w:p>
    <w:p w14:paraId="2CB04FC8" w14:textId="77777777" w:rsidR="000F287C" w:rsidRDefault="000F287C" w:rsidP="00A3605B">
      <w:pPr>
        <w:ind w:left="80"/>
        <w:jc w:val="left"/>
        <w:sectPr w:rsidR="000F287C" w:rsidSect="00832462">
          <w:type w:val="continuous"/>
          <w:pgSz w:w="11900" w:h="16840"/>
          <w:pgMar w:top="1440" w:right="1080" w:bottom="1440" w:left="1080" w:header="708" w:footer="708" w:gutter="0"/>
          <w:cols w:space="708"/>
          <w:docGrid w:linePitch="360"/>
        </w:sectPr>
      </w:pPr>
    </w:p>
    <w:p w14:paraId="391281CD" w14:textId="77777777" w:rsidR="009E6651" w:rsidRDefault="009E6651" w:rsidP="009E6651">
      <w:pPr>
        <w:pStyle w:val="Heading1"/>
      </w:pPr>
      <w:bookmarkStart w:id="18" w:name="_Toc420755117"/>
      <w:r>
        <w:lastRenderedPageBreak/>
        <w:t>Planning for Cost Recovery</w:t>
      </w:r>
      <w:bookmarkEnd w:id="18"/>
    </w:p>
    <w:p w14:paraId="532F8065" w14:textId="6733EAA8" w:rsidR="009E6651" w:rsidRPr="00A971DC" w:rsidRDefault="009E6651" w:rsidP="009E6651">
      <w:pPr>
        <w:pStyle w:val="Heading3"/>
        <w:pBdr>
          <w:bottom w:val="single" w:sz="4" w:space="1" w:color="auto"/>
        </w:pBdr>
        <w:spacing w:before="120" w:after="120" w:line="360" w:lineRule="auto"/>
        <w:rPr>
          <w:rStyle w:val="SubtleEmphasis"/>
        </w:rPr>
      </w:pPr>
      <w:r w:rsidRPr="00A971DC">
        <w:rPr>
          <w:rStyle w:val="SubtleEmphasis"/>
        </w:rPr>
        <w:t xml:space="preserve">Condition: </w:t>
      </w:r>
      <w:r>
        <w:rPr>
          <w:rStyle w:val="SubtleEmphasis"/>
        </w:rPr>
        <w:t>A plan for cost recovery is in place.</w:t>
      </w:r>
    </w:p>
    <w:p w14:paraId="605D7928" w14:textId="77777777" w:rsidR="009E6651" w:rsidRDefault="009E6651" w:rsidP="009E6651">
      <w:pPr>
        <w:sectPr w:rsidR="009E6651" w:rsidSect="009E6651">
          <w:pgSz w:w="11900" w:h="16840"/>
          <w:pgMar w:top="1440" w:right="1080" w:bottom="1440" w:left="1080" w:header="708" w:footer="708" w:gutter="0"/>
          <w:cols w:space="708"/>
          <w:docGrid w:linePitch="360"/>
        </w:sectPr>
      </w:pPr>
    </w:p>
    <w:p w14:paraId="4F831C3B" w14:textId="633F21C1" w:rsidR="009E6651" w:rsidRDefault="00FB681D" w:rsidP="009E6651">
      <w:pPr>
        <w:rPr>
          <w:lang w:val="en-US"/>
        </w:rPr>
      </w:pPr>
      <w:r>
        <w:lastRenderedPageBreak/>
        <w:t>A</w:t>
      </w:r>
      <w:r w:rsidR="008B6A53">
        <w:t>n ongoing</w:t>
      </w:r>
      <w:r>
        <w:t xml:space="preserve"> source of finance for water supply services is necessary for sustainability. </w:t>
      </w:r>
      <w:r w:rsidR="00C71115">
        <w:t>I</w:t>
      </w:r>
      <w:r>
        <w:t xml:space="preserve">nternational experience has shown that </w:t>
      </w:r>
      <w:r w:rsidR="00C717ED">
        <w:rPr>
          <w:lang w:val="en-US"/>
        </w:rPr>
        <w:t>many</w:t>
      </w:r>
      <w:r>
        <w:rPr>
          <w:lang w:val="en-US"/>
        </w:rPr>
        <w:t xml:space="preserve"> program budgets for water and sanitation </w:t>
      </w:r>
      <w:r w:rsidR="00C717ED">
        <w:rPr>
          <w:lang w:val="en-US"/>
        </w:rPr>
        <w:t xml:space="preserve">have </w:t>
      </w:r>
      <w:r w:rsidR="0054264E">
        <w:rPr>
          <w:lang w:val="en-US"/>
        </w:rPr>
        <w:t>cover</w:t>
      </w:r>
      <w:r w:rsidR="00C717ED">
        <w:rPr>
          <w:lang w:val="en-US"/>
        </w:rPr>
        <w:t>ed</w:t>
      </w:r>
      <w:r>
        <w:rPr>
          <w:lang w:val="en-US"/>
        </w:rPr>
        <w:t xml:space="preserve"> the capital costs of infrastructure but </w:t>
      </w:r>
      <w:r w:rsidR="00C717ED">
        <w:rPr>
          <w:lang w:val="en-US"/>
        </w:rPr>
        <w:t xml:space="preserve">have </w:t>
      </w:r>
      <w:r>
        <w:rPr>
          <w:lang w:val="en-US"/>
        </w:rPr>
        <w:t>overlook</w:t>
      </w:r>
      <w:r w:rsidR="00C717ED">
        <w:rPr>
          <w:lang w:val="en-US"/>
        </w:rPr>
        <w:t>ed the</w:t>
      </w:r>
      <w:r>
        <w:rPr>
          <w:lang w:val="en-US"/>
        </w:rPr>
        <w:t xml:space="preserve"> opera</w:t>
      </w:r>
      <w:r>
        <w:rPr>
          <w:rFonts w:ascii="† ˆøªÜÂ" w:hAnsi="† ˆøªÜÂ" w:cs="† ˆøªÜÂ"/>
          <w:lang w:val="en-US"/>
        </w:rPr>
        <w:t>ti</w:t>
      </w:r>
      <w:r>
        <w:rPr>
          <w:lang w:val="en-US"/>
        </w:rPr>
        <w:t>ons, maintenance, deprecia</w:t>
      </w:r>
      <w:r>
        <w:rPr>
          <w:rFonts w:ascii="† ˆøªÜÂ" w:hAnsi="† ˆøªÜÂ" w:cs="† ˆøªÜÂ"/>
          <w:lang w:val="en-US"/>
        </w:rPr>
        <w:t>ti</w:t>
      </w:r>
      <w:r>
        <w:rPr>
          <w:lang w:val="en-US"/>
        </w:rPr>
        <w:t xml:space="preserve">on, and other costs associated with </w:t>
      </w:r>
      <w:r w:rsidR="00C717ED">
        <w:rPr>
          <w:lang w:val="en-US"/>
        </w:rPr>
        <w:t>maintaining a service</w:t>
      </w:r>
      <w:r>
        <w:rPr>
          <w:lang w:val="en-US"/>
        </w:rPr>
        <w:t xml:space="preserve">. </w:t>
      </w:r>
      <w:r w:rsidR="00C71115">
        <w:rPr>
          <w:lang w:val="en-US"/>
        </w:rPr>
        <w:t>Consequently, systems have deteriorated over time as service providers have struggled to cover costs.</w:t>
      </w:r>
    </w:p>
    <w:p w14:paraId="4CF08180" w14:textId="4281F337" w:rsidR="005F20A2" w:rsidRDefault="00FB681D" w:rsidP="009E6651">
      <w:pPr>
        <w:rPr>
          <w:lang w:val="en-US"/>
        </w:rPr>
      </w:pPr>
      <w:r>
        <w:rPr>
          <w:lang w:val="en-US"/>
        </w:rPr>
        <w:t xml:space="preserve">In response to this problem the concept of life cycle costs has been developed. </w:t>
      </w:r>
      <w:r w:rsidR="008950F5">
        <w:rPr>
          <w:lang w:val="en-US"/>
        </w:rPr>
        <w:t xml:space="preserve">Life-cycle costs refer to the costs of ensuring the sustained delivery of adequate services to </w:t>
      </w:r>
      <w:r w:rsidR="008D3D64">
        <w:rPr>
          <w:lang w:val="en-US"/>
        </w:rPr>
        <w:t xml:space="preserve">the </w:t>
      </w:r>
      <w:r w:rsidR="008950F5">
        <w:rPr>
          <w:lang w:val="en-US"/>
        </w:rPr>
        <w:t xml:space="preserve">beneficiaries. </w:t>
      </w:r>
      <w:r w:rsidR="0054264E">
        <w:rPr>
          <w:lang w:val="en-US"/>
        </w:rPr>
        <w:t xml:space="preserve">These costs go much broader than the initial investment costs and attempt to cover the ‘life-cycle’ of a system, </w:t>
      </w:r>
      <w:r w:rsidR="0054264E" w:rsidRPr="0054264E">
        <w:rPr>
          <w:lang w:val="en-US"/>
        </w:rPr>
        <w:t>from initial capital investment, to oper</w:t>
      </w:r>
      <w:r w:rsidR="0054264E">
        <w:rPr>
          <w:lang w:val="en-US"/>
        </w:rPr>
        <w:t xml:space="preserve">ation and minor maintenance, to </w:t>
      </w:r>
      <w:r w:rsidR="0054264E" w:rsidRPr="0054264E">
        <w:rPr>
          <w:lang w:val="en-US"/>
        </w:rPr>
        <w:t xml:space="preserve">capital maintenance and </w:t>
      </w:r>
      <w:r w:rsidR="00CC0CE8">
        <w:rPr>
          <w:lang w:val="en-US"/>
        </w:rPr>
        <w:t xml:space="preserve">the </w:t>
      </w:r>
      <w:r w:rsidR="0054264E" w:rsidRPr="0054264E">
        <w:rPr>
          <w:lang w:val="en-US"/>
        </w:rPr>
        <w:t>replacement</w:t>
      </w:r>
      <w:r w:rsidR="00C717ED">
        <w:rPr>
          <w:lang w:val="en-US"/>
        </w:rPr>
        <w:t xml:space="preserve"> and extension</w:t>
      </w:r>
      <w:r w:rsidR="0054264E" w:rsidRPr="0054264E">
        <w:rPr>
          <w:lang w:val="en-US"/>
        </w:rPr>
        <w:t xml:space="preserve"> of </w:t>
      </w:r>
      <w:r w:rsidR="00C717ED">
        <w:rPr>
          <w:lang w:val="en-US"/>
        </w:rPr>
        <w:t xml:space="preserve">system </w:t>
      </w:r>
      <w:r w:rsidR="0054264E" w:rsidRPr="0054264E">
        <w:rPr>
          <w:lang w:val="en-US"/>
        </w:rPr>
        <w:t>infrastructure</w:t>
      </w:r>
      <w:r w:rsidR="0054264E">
        <w:rPr>
          <w:lang w:val="en-US"/>
        </w:rPr>
        <w:t>.</w:t>
      </w:r>
      <w:r w:rsidR="00C717ED">
        <w:rPr>
          <w:lang w:val="en-US"/>
        </w:rPr>
        <w:t xml:space="preserve"> </w:t>
      </w:r>
    </w:p>
    <w:p w14:paraId="35D1E6D8" w14:textId="7644B67B" w:rsidR="005F20A2" w:rsidRDefault="005F20A2" w:rsidP="009E6651">
      <w:pPr>
        <w:rPr>
          <w:lang w:val="en-US"/>
        </w:rPr>
      </w:pPr>
      <w:r>
        <w:rPr>
          <w:lang w:val="en-US"/>
        </w:rPr>
        <w:lastRenderedPageBreak/>
        <w:t>It is unrealistic, however, for Red Cross Societies to cover the full life-cycle costs of a system. Grant funding is typically limited to the immediate hardware and software costs associated with constructing a system</w:t>
      </w:r>
      <w:r w:rsidR="009A6C6E">
        <w:rPr>
          <w:lang w:val="en-US"/>
        </w:rPr>
        <w:t>. Alternative sources of funding are therefore needed to cover longer term costs associated with maintaining and improving a service.</w:t>
      </w:r>
      <w:r>
        <w:rPr>
          <w:lang w:val="en-US"/>
        </w:rPr>
        <w:t xml:space="preserve"> </w:t>
      </w:r>
      <w:r w:rsidR="00C71115">
        <w:rPr>
          <w:lang w:val="en-US"/>
        </w:rPr>
        <w:t>These sources of funding and the specific costs they must cover should be defined in a plan for cost recovery.</w:t>
      </w:r>
    </w:p>
    <w:p w14:paraId="405CB6BB" w14:textId="3D8D69B3" w:rsidR="005F20A2" w:rsidRDefault="009A6C6E" w:rsidP="009A6C6E">
      <w:pPr>
        <w:pStyle w:val="Heading2"/>
        <w:rPr>
          <w:lang w:val="en-US"/>
        </w:rPr>
      </w:pPr>
      <w:bookmarkStart w:id="19" w:name="_Toc420755118"/>
      <w:r>
        <w:rPr>
          <w:lang w:val="en-US"/>
        </w:rPr>
        <w:t>Preparing a Plan for Cost Recovery</w:t>
      </w:r>
      <w:bookmarkEnd w:id="19"/>
    </w:p>
    <w:p w14:paraId="07D9B989" w14:textId="77777777" w:rsidR="008D3D64" w:rsidRDefault="00C717ED" w:rsidP="009E6651">
      <w:pPr>
        <w:rPr>
          <w:lang w:val="en-US"/>
        </w:rPr>
        <w:sectPr w:rsidR="008D3D64" w:rsidSect="008D3D64">
          <w:type w:val="continuous"/>
          <w:pgSz w:w="11900" w:h="16840"/>
          <w:pgMar w:top="1440" w:right="1080" w:bottom="1440" w:left="1080" w:header="708" w:footer="708" w:gutter="0"/>
          <w:cols w:num="2" w:space="708"/>
          <w:docGrid w:linePitch="360"/>
        </w:sectPr>
      </w:pPr>
      <w:r>
        <w:rPr>
          <w:lang w:val="en-US"/>
        </w:rPr>
        <w:t>A cost recovery plan should be prepared by program managers as part of the design phase of a water supply project. This</w:t>
      </w:r>
      <w:r w:rsidR="0004129C">
        <w:rPr>
          <w:lang w:val="en-US"/>
        </w:rPr>
        <w:t xml:space="preserve"> plan should clearly define the</w:t>
      </w:r>
      <w:r>
        <w:rPr>
          <w:lang w:val="en-US"/>
        </w:rPr>
        <w:t xml:space="preserve"> costs that will be covered by a Red Cross Society, the costs that are expected to be covered by a service provider and any costs that are expected to be covered by the local government. </w:t>
      </w:r>
      <w:r w:rsidR="004C4625">
        <w:rPr>
          <w:lang w:val="en-US"/>
        </w:rPr>
        <w:t xml:space="preserve">An example is provided in </w:t>
      </w:r>
      <w:r>
        <w:rPr>
          <w:lang w:val="en-US"/>
        </w:rPr>
        <w:t xml:space="preserve">Table </w:t>
      </w:r>
      <w:r w:rsidRPr="000A65AF">
        <w:rPr>
          <w:highlight w:val="yellow"/>
          <w:lang w:val="en-US"/>
        </w:rPr>
        <w:t>X</w:t>
      </w:r>
      <w:r>
        <w:rPr>
          <w:lang w:val="en-US"/>
        </w:rPr>
        <w:t xml:space="preserve"> below</w:t>
      </w:r>
      <w:r w:rsidR="004C4625">
        <w:rPr>
          <w:lang w:val="en-US"/>
        </w:rPr>
        <w:t>, using</w:t>
      </w:r>
      <w:r>
        <w:rPr>
          <w:lang w:val="en-US"/>
        </w:rPr>
        <w:t xml:space="preserve"> a cost categorization approach designed by the IRC International Water Centre. </w:t>
      </w:r>
    </w:p>
    <w:p w14:paraId="77C95276" w14:textId="0E5C5947" w:rsidR="00FB681D" w:rsidRDefault="00FB681D" w:rsidP="009E6651">
      <w:pPr>
        <w:rPr>
          <w:lang w:val="en-US"/>
        </w:rPr>
      </w:pPr>
    </w:p>
    <w:p w14:paraId="47E6C76F" w14:textId="56D0A549" w:rsidR="00383689" w:rsidRPr="00254F1E" w:rsidRDefault="00254F1E" w:rsidP="009E6651">
      <w:pPr>
        <w:rPr>
          <w:b/>
          <w:lang w:val="en-US"/>
        </w:rPr>
      </w:pPr>
      <w:r>
        <w:rPr>
          <w:b/>
          <w:lang w:val="en-US"/>
        </w:rPr>
        <w:t xml:space="preserve">Table </w:t>
      </w:r>
      <w:r w:rsidRPr="00254F1E">
        <w:rPr>
          <w:b/>
          <w:highlight w:val="yellow"/>
          <w:lang w:val="en-US"/>
        </w:rPr>
        <w:t>X</w:t>
      </w:r>
      <w:r>
        <w:rPr>
          <w:b/>
          <w:lang w:val="en-US"/>
        </w:rPr>
        <w:t xml:space="preserve"> – </w:t>
      </w:r>
      <w:r w:rsidRPr="00EF2336">
        <w:rPr>
          <w:b/>
        </w:rPr>
        <w:t>Life-cycle cost categories</w:t>
      </w:r>
      <w:r w:rsidR="004C4625" w:rsidRPr="00EF2336">
        <w:rPr>
          <w:b/>
        </w:rPr>
        <w:t xml:space="preserve"> and sources of finance</w:t>
      </w:r>
      <w:r w:rsidRPr="00EF2336">
        <w:rPr>
          <w:b/>
        </w:rPr>
        <w:t xml:space="preserve"> (adapted from Fonseca et al, 2011)</w:t>
      </w:r>
      <w:r>
        <w:rPr>
          <w:b/>
          <w:lang w:val="en-US"/>
        </w:rPr>
        <w:t>.</w:t>
      </w:r>
    </w:p>
    <w:tbl>
      <w:tblPr>
        <w:tblStyle w:val="LightGrid-Accent3"/>
        <w:tblW w:w="0" w:type="auto"/>
        <w:tblLook w:val="04A0" w:firstRow="1" w:lastRow="0" w:firstColumn="1" w:lastColumn="0" w:noHBand="0" w:noVBand="1"/>
      </w:tblPr>
      <w:tblGrid>
        <w:gridCol w:w="2543"/>
        <w:gridCol w:w="3914"/>
        <w:gridCol w:w="2986"/>
      </w:tblGrid>
      <w:tr w:rsidR="0004129C" w14:paraId="42996160" w14:textId="3218C5B4" w:rsidTr="005F2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228AF0BA" w14:textId="77777777" w:rsidR="0004129C" w:rsidRPr="000A2A3F" w:rsidRDefault="0004129C" w:rsidP="00C717ED">
            <w:pPr>
              <w:widowControl w:val="0"/>
              <w:autoSpaceDE w:val="0"/>
              <w:autoSpaceDN w:val="0"/>
              <w:adjustRightInd w:val="0"/>
              <w:rPr>
                <w:rFonts w:ascii="Times New Roman" w:hAnsi="Times New Roman" w:cs="Times New Roman"/>
                <w:lang w:val="en-US"/>
              </w:rPr>
            </w:pPr>
            <w:r w:rsidRPr="000A2A3F">
              <w:rPr>
                <w:rFonts w:ascii="Times New Roman" w:hAnsi="Times New Roman" w:cs="Times New Roman"/>
                <w:lang w:val="en-US"/>
              </w:rPr>
              <w:t>Cost</w:t>
            </w:r>
          </w:p>
        </w:tc>
        <w:tc>
          <w:tcPr>
            <w:tcW w:w="3914" w:type="dxa"/>
          </w:tcPr>
          <w:p w14:paraId="4741CE6F" w14:textId="77777777" w:rsidR="0004129C" w:rsidRPr="000A2A3F" w:rsidRDefault="0004129C" w:rsidP="00C717E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A2A3F">
              <w:rPr>
                <w:rFonts w:ascii="Times New Roman" w:hAnsi="Times New Roman" w:cs="Times New Roman"/>
                <w:lang w:val="en-US"/>
              </w:rPr>
              <w:t>Description</w:t>
            </w:r>
          </w:p>
        </w:tc>
        <w:tc>
          <w:tcPr>
            <w:tcW w:w="2986" w:type="dxa"/>
          </w:tcPr>
          <w:p w14:paraId="7B654E0C" w14:textId="0B2F709D" w:rsidR="0004129C" w:rsidRPr="000A2A3F" w:rsidRDefault="0004129C" w:rsidP="00C717E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Source of Finance</w:t>
            </w:r>
          </w:p>
        </w:tc>
      </w:tr>
      <w:tr w:rsidR="0004129C" w14:paraId="397E3F95" w14:textId="78702362" w:rsidTr="005F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1396CAE" w14:textId="61C1F312" w:rsidR="0004129C" w:rsidRPr="0004129C" w:rsidRDefault="0004129C" w:rsidP="0004129C">
            <w:pPr>
              <w:widowControl w:val="0"/>
              <w:autoSpaceDE w:val="0"/>
              <w:autoSpaceDN w:val="0"/>
              <w:adjustRightInd w:val="0"/>
              <w:spacing w:before="60" w:after="60"/>
              <w:jc w:val="left"/>
              <w:rPr>
                <w:rFonts w:ascii="Times New Roman" w:hAnsi="Times New Roman" w:cs="Times New Roman"/>
                <w:lang w:val="en-US"/>
              </w:rPr>
            </w:pPr>
            <w:r w:rsidRPr="0004129C">
              <w:rPr>
                <w:rFonts w:ascii="Times New Roman" w:hAnsi="Times New Roman" w:cs="Times New Roman"/>
                <w:lang w:val="en-US"/>
              </w:rPr>
              <w:t>Capital Expenditure – hardware</w:t>
            </w:r>
          </w:p>
        </w:tc>
        <w:tc>
          <w:tcPr>
            <w:tcW w:w="3914" w:type="dxa"/>
          </w:tcPr>
          <w:p w14:paraId="630B09A7" w14:textId="51E8A964" w:rsidR="0004129C" w:rsidRPr="000A2A3F" w:rsidRDefault="0004129C" w:rsidP="00D924F2">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lang w:val="en-US"/>
              </w:rPr>
            </w:pPr>
            <w:r>
              <w:rPr>
                <w:lang w:val="en-US"/>
              </w:rPr>
              <w:t>The capital invested</w:t>
            </w:r>
            <w:r w:rsidRPr="000A2A3F">
              <w:rPr>
                <w:lang w:val="en-US"/>
              </w:rPr>
              <w:t xml:space="preserve"> in </w:t>
            </w:r>
            <w:r>
              <w:rPr>
                <w:lang w:val="en-US"/>
              </w:rPr>
              <w:t>constructing or purchasing physical assets (i.e. pumps and pipes).</w:t>
            </w:r>
          </w:p>
        </w:tc>
        <w:tc>
          <w:tcPr>
            <w:tcW w:w="2986" w:type="dxa"/>
          </w:tcPr>
          <w:p w14:paraId="010A5EB7" w14:textId="6A41DDF4" w:rsidR="0004129C" w:rsidRDefault="0004129C" w:rsidP="0004129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lang w:val="en-US"/>
              </w:rPr>
            </w:pPr>
            <w:r>
              <w:rPr>
                <w:lang w:val="en-US"/>
              </w:rPr>
              <w:t>Red Cross Society through grant funding</w:t>
            </w:r>
            <w:r w:rsidR="00A8597A">
              <w:rPr>
                <w:lang w:val="en-US"/>
              </w:rPr>
              <w:t>.</w:t>
            </w:r>
          </w:p>
        </w:tc>
      </w:tr>
      <w:tr w:rsidR="0004129C" w14:paraId="00D48DB5" w14:textId="05E04C8E" w:rsidTr="005F2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3B5A10E5" w14:textId="6B859460" w:rsidR="0004129C" w:rsidRPr="0004129C" w:rsidRDefault="0004129C" w:rsidP="0004129C">
            <w:pPr>
              <w:widowControl w:val="0"/>
              <w:autoSpaceDE w:val="0"/>
              <w:autoSpaceDN w:val="0"/>
              <w:adjustRightInd w:val="0"/>
              <w:spacing w:before="60" w:after="60"/>
              <w:jc w:val="left"/>
              <w:rPr>
                <w:rFonts w:ascii="Times New Roman" w:hAnsi="Times New Roman" w:cs="Times New Roman"/>
                <w:lang w:val="en-US"/>
              </w:rPr>
            </w:pPr>
            <w:r w:rsidRPr="0004129C">
              <w:rPr>
                <w:rFonts w:ascii="Times New Roman" w:hAnsi="Times New Roman" w:cs="Times New Roman"/>
                <w:lang w:val="en-US"/>
              </w:rPr>
              <w:t>Capital Expenditure – software</w:t>
            </w:r>
          </w:p>
        </w:tc>
        <w:tc>
          <w:tcPr>
            <w:tcW w:w="3914" w:type="dxa"/>
          </w:tcPr>
          <w:p w14:paraId="0946EBE6" w14:textId="33CF6DE9" w:rsidR="0004129C" w:rsidRPr="000A2A3F" w:rsidRDefault="0004129C" w:rsidP="00254F1E">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lang w:val="en-US"/>
              </w:rPr>
            </w:pPr>
            <w:r>
              <w:rPr>
                <w:lang w:val="en-US"/>
              </w:rPr>
              <w:t>The cost of consulting with</w:t>
            </w:r>
            <w:r w:rsidRPr="000A2A3F">
              <w:rPr>
                <w:lang w:val="en-US"/>
              </w:rPr>
              <w:t xml:space="preserve"> stakeholders prior to or during construction </w:t>
            </w:r>
            <w:r>
              <w:rPr>
                <w:lang w:val="en-US"/>
              </w:rPr>
              <w:t>of a system (i.e. location of water points, preferred choice of service provider).</w:t>
            </w:r>
          </w:p>
        </w:tc>
        <w:tc>
          <w:tcPr>
            <w:tcW w:w="2986" w:type="dxa"/>
          </w:tcPr>
          <w:p w14:paraId="08E58E4D" w14:textId="7BECDB6A" w:rsidR="0004129C" w:rsidRDefault="0004129C" w:rsidP="0004129C">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lang w:val="en-US"/>
              </w:rPr>
            </w:pPr>
            <w:r>
              <w:rPr>
                <w:lang w:val="en-US"/>
              </w:rPr>
              <w:t>Red Cross Society though grant funding</w:t>
            </w:r>
            <w:r w:rsidR="00A8597A">
              <w:rPr>
                <w:lang w:val="en-US"/>
              </w:rPr>
              <w:t>.</w:t>
            </w:r>
          </w:p>
        </w:tc>
      </w:tr>
      <w:tr w:rsidR="0004129C" w14:paraId="2C5D933C" w14:textId="6990CD1C" w:rsidTr="005F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54D003D" w14:textId="77777777" w:rsidR="0004129C" w:rsidRPr="0004129C" w:rsidRDefault="0004129C" w:rsidP="0004129C">
            <w:pPr>
              <w:widowControl w:val="0"/>
              <w:autoSpaceDE w:val="0"/>
              <w:autoSpaceDN w:val="0"/>
              <w:adjustRightInd w:val="0"/>
              <w:spacing w:before="60" w:after="60"/>
              <w:jc w:val="left"/>
              <w:rPr>
                <w:rFonts w:ascii="Times New Roman" w:hAnsi="Times New Roman" w:cs="Times New Roman"/>
                <w:lang w:val="en-US"/>
              </w:rPr>
            </w:pPr>
            <w:r w:rsidRPr="0004129C">
              <w:rPr>
                <w:rFonts w:ascii="Times New Roman" w:hAnsi="Times New Roman" w:cs="Times New Roman"/>
                <w:lang w:val="en-US"/>
              </w:rPr>
              <w:t>Operating and Minor Maintenance Expenditure</w:t>
            </w:r>
          </w:p>
        </w:tc>
        <w:tc>
          <w:tcPr>
            <w:tcW w:w="3914" w:type="dxa"/>
          </w:tcPr>
          <w:p w14:paraId="260F19CD" w14:textId="62FFEC23" w:rsidR="0004129C" w:rsidRPr="000A2A3F" w:rsidRDefault="0004129C" w:rsidP="00D924F2">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Expenditure on </w:t>
            </w:r>
            <w:proofErr w:type="spellStart"/>
            <w:r>
              <w:rPr>
                <w:lang w:val="en-US"/>
              </w:rPr>
              <w:t>labour</w:t>
            </w:r>
            <w:proofErr w:type="spellEnd"/>
            <w:r>
              <w:rPr>
                <w:lang w:val="en-US"/>
              </w:rPr>
              <w:t>, energy and spare parts.</w:t>
            </w:r>
          </w:p>
        </w:tc>
        <w:tc>
          <w:tcPr>
            <w:tcW w:w="2986" w:type="dxa"/>
          </w:tcPr>
          <w:p w14:paraId="7319A163" w14:textId="48AA626D" w:rsidR="0004129C" w:rsidRDefault="0004129C" w:rsidP="0004129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lang w:val="en-US"/>
              </w:rPr>
            </w:pPr>
            <w:r>
              <w:rPr>
                <w:lang w:val="en-US"/>
              </w:rPr>
              <w:t>Service provider through water tariff or community levy</w:t>
            </w:r>
            <w:r w:rsidR="00A8597A">
              <w:rPr>
                <w:lang w:val="en-US"/>
              </w:rPr>
              <w:t>.</w:t>
            </w:r>
          </w:p>
        </w:tc>
      </w:tr>
      <w:tr w:rsidR="0004129C" w14:paraId="11C409D3" w14:textId="39514CCD" w:rsidTr="005F2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1CE61C65" w14:textId="642E7117" w:rsidR="0004129C" w:rsidRPr="0004129C" w:rsidRDefault="0004129C" w:rsidP="0004129C">
            <w:pPr>
              <w:widowControl w:val="0"/>
              <w:autoSpaceDE w:val="0"/>
              <w:autoSpaceDN w:val="0"/>
              <w:adjustRightInd w:val="0"/>
              <w:spacing w:before="60" w:after="60"/>
              <w:jc w:val="left"/>
              <w:rPr>
                <w:rFonts w:ascii="Times New Roman" w:hAnsi="Times New Roman" w:cs="Times New Roman"/>
                <w:lang w:val="en-US"/>
              </w:rPr>
            </w:pPr>
            <w:r w:rsidRPr="0004129C">
              <w:rPr>
                <w:rFonts w:ascii="Times New Roman" w:hAnsi="Times New Roman" w:cs="Times New Roman"/>
                <w:lang w:val="en-US"/>
              </w:rPr>
              <w:lastRenderedPageBreak/>
              <w:t>Capital Maintenance Expenditure</w:t>
            </w:r>
          </w:p>
        </w:tc>
        <w:tc>
          <w:tcPr>
            <w:tcW w:w="3914" w:type="dxa"/>
          </w:tcPr>
          <w:p w14:paraId="42DC1FFD" w14:textId="2A10C0AE" w:rsidR="0004129C" w:rsidRPr="000A2A3F" w:rsidRDefault="0004129C" w:rsidP="00C717ED">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lang w:val="en-US"/>
              </w:rPr>
            </w:pPr>
            <w:r w:rsidRPr="000A2A3F">
              <w:rPr>
                <w:lang w:val="en-US"/>
              </w:rPr>
              <w:t>Expenditure on asset renewal, replacement and rehabilitation costs</w:t>
            </w:r>
            <w:r>
              <w:rPr>
                <w:lang w:val="en-US"/>
              </w:rPr>
              <w:t>.</w:t>
            </w:r>
          </w:p>
        </w:tc>
        <w:tc>
          <w:tcPr>
            <w:tcW w:w="2986" w:type="dxa"/>
          </w:tcPr>
          <w:p w14:paraId="7EFC156F" w14:textId="641C0F36" w:rsidR="0004129C" w:rsidRPr="000A2A3F" w:rsidRDefault="0004129C" w:rsidP="00A8597A">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Service provider </w:t>
            </w:r>
            <w:r w:rsidR="009A6C6E">
              <w:rPr>
                <w:lang w:val="en-US"/>
              </w:rPr>
              <w:t xml:space="preserve">with support from the local government using a mix of </w:t>
            </w:r>
            <w:r w:rsidR="000A65AF">
              <w:rPr>
                <w:lang w:val="en-US"/>
              </w:rPr>
              <w:t xml:space="preserve">public finance, </w:t>
            </w:r>
            <w:r w:rsidR="009A6C6E">
              <w:rPr>
                <w:lang w:val="en-US"/>
              </w:rPr>
              <w:t>bank loans and donor grants</w:t>
            </w:r>
            <w:r w:rsidR="00A8597A">
              <w:rPr>
                <w:lang w:val="en-US"/>
              </w:rPr>
              <w:t>.</w:t>
            </w:r>
          </w:p>
        </w:tc>
      </w:tr>
      <w:tr w:rsidR="0004129C" w14:paraId="099C88D2" w14:textId="27CF2FAC" w:rsidTr="005F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6233DB28" w14:textId="1EFCBE02" w:rsidR="0004129C" w:rsidRPr="0004129C" w:rsidRDefault="0004129C" w:rsidP="0004129C">
            <w:pPr>
              <w:widowControl w:val="0"/>
              <w:autoSpaceDE w:val="0"/>
              <w:autoSpaceDN w:val="0"/>
              <w:adjustRightInd w:val="0"/>
              <w:spacing w:before="60" w:after="60"/>
              <w:jc w:val="left"/>
              <w:rPr>
                <w:rFonts w:ascii="Times New Roman" w:hAnsi="Times New Roman" w:cs="Times New Roman"/>
                <w:lang w:val="en-US"/>
              </w:rPr>
            </w:pPr>
            <w:r w:rsidRPr="0004129C">
              <w:rPr>
                <w:rFonts w:ascii="Times New Roman" w:hAnsi="Times New Roman" w:cs="Times New Roman"/>
                <w:lang w:val="en-US"/>
              </w:rPr>
              <w:t>Expenditure on Direct Support</w:t>
            </w:r>
          </w:p>
        </w:tc>
        <w:tc>
          <w:tcPr>
            <w:tcW w:w="3914" w:type="dxa"/>
          </w:tcPr>
          <w:p w14:paraId="7A6B8364" w14:textId="32B7077B" w:rsidR="0004129C" w:rsidRPr="000A2A3F" w:rsidRDefault="0004129C" w:rsidP="009A6C6E">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lang w:val="en-US"/>
              </w:rPr>
            </w:pPr>
            <w:r>
              <w:rPr>
                <w:lang w:val="en-US"/>
              </w:rPr>
              <w:t>The costs associated with providing technical support to service providers.</w:t>
            </w:r>
          </w:p>
        </w:tc>
        <w:tc>
          <w:tcPr>
            <w:tcW w:w="2986" w:type="dxa"/>
          </w:tcPr>
          <w:p w14:paraId="5264A623" w14:textId="3E4BB0F3" w:rsidR="0004129C" w:rsidRDefault="0004129C" w:rsidP="009A6C6E">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lang w:val="en-US"/>
              </w:rPr>
            </w:pPr>
            <w:r>
              <w:rPr>
                <w:lang w:val="en-US"/>
              </w:rPr>
              <w:t>Local government using public finance</w:t>
            </w:r>
            <w:r w:rsidR="00A8597A">
              <w:rPr>
                <w:lang w:val="en-US"/>
              </w:rPr>
              <w:t>.</w:t>
            </w:r>
          </w:p>
        </w:tc>
      </w:tr>
      <w:tr w:rsidR="0004129C" w14:paraId="1CF90A4B" w14:textId="7A465F95" w:rsidTr="005F2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14:paraId="7AF59042" w14:textId="61120C92" w:rsidR="0004129C" w:rsidRPr="0004129C" w:rsidRDefault="0004129C" w:rsidP="0004129C">
            <w:pPr>
              <w:widowControl w:val="0"/>
              <w:autoSpaceDE w:val="0"/>
              <w:autoSpaceDN w:val="0"/>
              <w:adjustRightInd w:val="0"/>
              <w:spacing w:before="60" w:after="60"/>
              <w:jc w:val="left"/>
              <w:rPr>
                <w:rFonts w:ascii="Times New Roman" w:hAnsi="Times New Roman" w:cs="Times New Roman"/>
                <w:lang w:val="en-US"/>
              </w:rPr>
            </w:pPr>
            <w:r w:rsidRPr="0004129C">
              <w:rPr>
                <w:rFonts w:ascii="Times New Roman" w:hAnsi="Times New Roman" w:cs="Times New Roman"/>
                <w:lang w:val="en-US"/>
              </w:rPr>
              <w:t>Expenditure on Indirect Support</w:t>
            </w:r>
          </w:p>
        </w:tc>
        <w:tc>
          <w:tcPr>
            <w:tcW w:w="3914" w:type="dxa"/>
          </w:tcPr>
          <w:p w14:paraId="39AC2AF7" w14:textId="3643504F" w:rsidR="0004129C" w:rsidRPr="000A2A3F" w:rsidRDefault="0004129C" w:rsidP="0004129C">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lang w:val="en-US"/>
              </w:rPr>
            </w:pPr>
            <w:r>
              <w:rPr>
                <w:lang w:val="en-US"/>
              </w:rPr>
              <w:t>The costs associated with monitoring activities.</w:t>
            </w:r>
          </w:p>
        </w:tc>
        <w:tc>
          <w:tcPr>
            <w:tcW w:w="2986" w:type="dxa"/>
          </w:tcPr>
          <w:p w14:paraId="78CDD348" w14:textId="78D024AE" w:rsidR="0004129C" w:rsidRDefault="0004129C" w:rsidP="00254F1E">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lang w:val="en-US"/>
              </w:rPr>
            </w:pPr>
            <w:r>
              <w:rPr>
                <w:lang w:val="en-US"/>
              </w:rPr>
              <w:t>Local and/or national government using public finance</w:t>
            </w:r>
            <w:r w:rsidR="00A8597A">
              <w:rPr>
                <w:lang w:val="en-US"/>
              </w:rPr>
              <w:t>.</w:t>
            </w:r>
          </w:p>
        </w:tc>
      </w:tr>
    </w:tbl>
    <w:p w14:paraId="7B7DC211" w14:textId="7FCF2898" w:rsidR="00383689" w:rsidRDefault="00177EEB" w:rsidP="009E6651">
      <w:pPr>
        <w:rPr>
          <w:lang w:val="en-US"/>
        </w:rPr>
      </w:pPr>
      <w:r>
        <w:rPr>
          <w:lang w:val="en-US"/>
        </w:rPr>
        <w:t xml:space="preserve"> </w:t>
      </w:r>
    </w:p>
    <w:p w14:paraId="2A21017B" w14:textId="77777777" w:rsidR="008D3D64" w:rsidRDefault="008D3D64" w:rsidP="009E6651">
      <w:pPr>
        <w:rPr>
          <w:lang w:val="en-US"/>
        </w:rPr>
        <w:sectPr w:rsidR="008D3D64" w:rsidSect="00637561">
          <w:type w:val="continuous"/>
          <w:pgSz w:w="11900" w:h="16840"/>
          <w:pgMar w:top="1440" w:right="1080" w:bottom="1440" w:left="1080" w:header="708" w:footer="708" w:gutter="0"/>
          <w:cols w:space="708"/>
          <w:docGrid w:linePitch="360"/>
        </w:sectPr>
      </w:pPr>
    </w:p>
    <w:p w14:paraId="48CBC110" w14:textId="69E8FC39" w:rsidR="00C71115" w:rsidRDefault="00177EEB" w:rsidP="009E6651">
      <w:pPr>
        <w:rPr>
          <w:lang w:val="en-US"/>
        </w:rPr>
      </w:pPr>
      <w:r>
        <w:rPr>
          <w:lang w:val="en-US"/>
        </w:rPr>
        <w:lastRenderedPageBreak/>
        <w:t xml:space="preserve">Table </w:t>
      </w:r>
      <w:r w:rsidRPr="00DC775A">
        <w:rPr>
          <w:highlight w:val="yellow"/>
          <w:lang w:val="en-US"/>
        </w:rPr>
        <w:t>X</w:t>
      </w:r>
      <w:r>
        <w:rPr>
          <w:lang w:val="en-US"/>
        </w:rPr>
        <w:t xml:space="preserve"> </w:t>
      </w:r>
      <w:r w:rsidR="00C71115">
        <w:rPr>
          <w:lang w:val="en-US"/>
        </w:rPr>
        <w:t>draws on current models of cost recovery for rural, small piped water schemes in Rwanda. Note that the example above shares the costs of the system between a Red Cross Society, the service provider and local government</w:t>
      </w:r>
      <w:r>
        <w:rPr>
          <w:lang w:val="en-US"/>
        </w:rPr>
        <w:t>.</w:t>
      </w:r>
      <w:r w:rsidR="00C71115">
        <w:rPr>
          <w:lang w:val="en-US"/>
        </w:rPr>
        <w:t xml:space="preserve"> Under this hypothetical arrangement, the Red Cross Society’s investment is limited to the initial capital expenditure on system construction. </w:t>
      </w:r>
      <w:r w:rsidR="008D3D64">
        <w:rPr>
          <w:lang w:val="en-US"/>
        </w:rPr>
        <w:t>Following construction t</w:t>
      </w:r>
      <w:r w:rsidR="00C71115">
        <w:rPr>
          <w:lang w:val="en-US"/>
        </w:rPr>
        <w:t xml:space="preserve">he system is handed over to the local government or service </w:t>
      </w:r>
      <w:r w:rsidR="008D3D64">
        <w:rPr>
          <w:lang w:val="en-US"/>
        </w:rPr>
        <w:t>provider, who then takes</w:t>
      </w:r>
      <w:r w:rsidR="00C71115">
        <w:rPr>
          <w:lang w:val="en-US"/>
        </w:rPr>
        <w:t xml:space="preserve"> on</w:t>
      </w:r>
      <w:r w:rsidR="008D3D64">
        <w:rPr>
          <w:lang w:val="en-US"/>
        </w:rPr>
        <w:t xml:space="preserve"> responsibility for</w:t>
      </w:r>
      <w:r w:rsidR="00C71115">
        <w:rPr>
          <w:lang w:val="en-US"/>
        </w:rPr>
        <w:t xml:space="preserve"> the long term life-cycle costs for the system. </w:t>
      </w:r>
    </w:p>
    <w:p w14:paraId="681835B4" w14:textId="7AADF878" w:rsidR="003A4E0A" w:rsidRDefault="004C2F16" w:rsidP="009E6651">
      <w:pPr>
        <w:rPr>
          <w:lang w:val="en-US"/>
        </w:rPr>
      </w:pPr>
      <w:r>
        <w:rPr>
          <w:lang w:val="en-US"/>
        </w:rPr>
        <w:lastRenderedPageBreak/>
        <w:t>Note that t</w:t>
      </w:r>
      <w:r w:rsidR="00C71115">
        <w:rPr>
          <w:lang w:val="en-US"/>
        </w:rPr>
        <w:t>he example above</w:t>
      </w:r>
      <w:r>
        <w:rPr>
          <w:lang w:val="en-US"/>
        </w:rPr>
        <w:t xml:space="preserve"> makes an important assumption:</w:t>
      </w:r>
      <w:r w:rsidR="00C71115">
        <w:rPr>
          <w:lang w:val="en-US"/>
        </w:rPr>
        <w:t xml:space="preserve"> that a water tariff or levy will be charged to cover the costs of operations and minor maintenance. </w:t>
      </w:r>
      <w:r w:rsidR="00DC775A">
        <w:rPr>
          <w:lang w:val="en-US"/>
        </w:rPr>
        <w:t xml:space="preserve">The use of levies and fees </w:t>
      </w:r>
      <w:r w:rsidR="00C71115">
        <w:rPr>
          <w:lang w:val="en-US"/>
        </w:rPr>
        <w:t>has become common p</w:t>
      </w:r>
      <w:r w:rsidR="003A4E0A">
        <w:rPr>
          <w:lang w:val="en-US"/>
        </w:rPr>
        <w:t>ractice in Rwanda and indeed they have</w:t>
      </w:r>
      <w:r w:rsidR="00C71115">
        <w:rPr>
          <w:lang w:val="en-US"/>
        </w:rPr>
        <w:t xml:space="preserve"> become widely accepted by the international WASH community. </w:t>
      </w:r>
    </w:p>
    <w:p w14:paraId="49E64216" w14:textId="7F221418" w:rsidR="008D3D64" w:rsidRDefault="00DC775A" w:rsidP="009E6651">
      <w:pPr>
        <w:rPr>
          <w:lang w:val="en-US"/>
        </w:rPr>
      </w:pPr>
      <w:r>
        <w:rPr>
          <w:lang w:val="en-US"/>
        </w:rPr>
        <w:t xml:space="preserve">There a number of different approaches for raising revenue </w:t>
      </w:r>
      <w:r w:rsidR="003A4E0A">
        <w:rPr>
          <w:lang w:val="en-US"/>
        </w:rPr>
        <w:t>for cost recovery.</w:t>
      </w:r>
      <w:r>
        <w:rPr>
          <w:lang w:val="en-US"/>
        </w:rPr>
        <w:t xml:space="preserve"> </w:t>
      </w:r>
      <w:r w:rsidR="003A4E0A">
        <w:rPr>
          <w:lang w:val="en-US"/>
        </w:rPr>
        <w:t>T</w:t>
      </w:r>
      <w:r>
        <w:rPr>
          <w:lang w:val="en-US"/>
        </w:rPr>
        <w:t xml:space="preserve">he pros and cons of each are listed in Table </w:t>
      </w:r>
      <w:r w:rsidRPr="00DC775A">
        <w:rPr>
          <w:highlight w:val="yellow"/>
          <w:lang w:val="en-US"/>
        </w:rPr>
        <w:t>X</w:t>
      </w:r>
      <w:r>
        <w:rPr>
          <w:lang w:val="en-US"/>
        </w:rPr>
        <w:t xml:space="preserve"> below.</w:t>
      </w:r>
    </w:p>
    <w:p w14:paraId="21821C29" w14:textId="77777777" w:rsidR="008D3D64" w:rsidRDefault="008D3D64" w:rsidP="009E6651">
      <w:pPr>
        <w:rPr>
          <w:lang w:val="en-US"/>
        </w:rPr>
        <w:sectPr w:rsidR="008D3D64" w:rsidSect="008D3D64">
          <w:type w:val="continuous"/>
          <w:pgSz w:w="11900" w:h="16840"/>
          <w:pgMar w:top="1440" w:right="1080" w:bottom="1440" w:left="1080" w:header="708" w:footer="708" w:gutter="0"/>
          <w:cols w:num="2" w:space="708"/>
          <w:docGrid w:linePitch="360"/>
        </w:sectPr>
      </w:pPr>
    </w:p>
    <w:p w14:paraId="7010D48F" w14:textId="265DD820" w:rsidR="006910B6" w:rsidRDefault="006910B6" w:rsidP="006910B6">
      <w:pPr>
        <w:widowControl w:val="0"/>
        <w:autoSpaceDE w:val="0"/>
        <w:autoSpaceDN w:val="0"/>
        <w:adjustRightInd w:val="0"/>
        <w:rPr>
          <w:lang w:val="en-US"/>
        </w:rPr>
      </w:pPr>
      <w:r w:rsidRPr="00EF2336">
        <w:rPr>
          <w:b/>
        </w:rPr>
        <w:lastRenderedPageBreak/>
        <w:t>Table</w:t>
      </w:r>
      <w:r w:rsidRPr="000A2A3F">
        <w:rPr>
          <w:b/>
          <w:lang w:val="en-US"/>
        </w:rPr>
        <w:t xml:space="preserve"> </w:t>
      </w:r>
      <w:r w:rsidRPr="006910B6">
        <w:rPr>
          <w:b/>
          <w:highlight w:val="yellow"/>
          <w:lang w:val="en-US"/>
        </w:rPr>
        <w:t>X</w:t>
      </w:r>
      <w:r w:rsidRPr="000A2A3F">
        <w:rPr>
          <w:b/>
          <w:lang w:val="en-US"/>
        </w:rPr>
        <w:t xml:space="preserve">. </w:t>
      </w:r>
      <w:r w:rsidRPr="00EF2336">
        <w:rPr>
          <w:b/>
        </w:rPr>
        <w:t xml:space="preserve">Forms of levies and fees (adapted from </w:t>
      </w:r>
      <w:proofErr w:type="spellStart"/>
      <w:r w:rsidRPr="00EF2336">
        <w:rPr>
          <w:b/>
        </w:rPr>
        <w:t>AfDB</w:t>
      </w:r>
      <w:proofErr w:type="spellEnd"/>
      <w:r w:rsidRPr="00EF2336">
        <w:rPr>
          <w:b/>
        </w:rPr>
        <w:t>, 2010)</w:t>
      </w:r>
      <w:r w:rsidR="00EF2336">
        <w:rPr>
          <w:b/>
        </w:rPr>
        <w:t>.</w:t>
      </w:r>
    </w:p>
    <w:tbl>
      <w:tblPr>
        <w:tblStyle w:val="LightGrid-Accent5"/>
        <w:tblW w:w="9785" w:type="dxa"/>
        <w:jc w:val="center"/>
        <w:tblLook w:val="04A0" w:firstRow="1" w:lastRow="0" w:firstColumn="1" w:lastColumn="0" w:noHBand="0" w:noVBand="1"/>
      </w:tblPr>
      <w:tblGrid>
        <w:gridCol w:w="2144"/>
        <w:gridCol w:w="3493"/>
        <w:gridCol w:w="4148"/>
      </w:tblGrid>
      <w:tr w:rsidR="006910B6" w14:paraId="0D1C5E8A" w14:textId="77777777" w:rsidTr="001661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4" w:type="dxa"/>
          </w:tcPr>
          <w:p w14:paraId="50B7580A" w14:textId="77777777" w:rsidR="006910B6" w:rsidRPr="00C21DE2" w:rsidRDefault="006910B6" w:rsidP="00C21DE2">
            <w:pPr>
              <w:rPr>
                <w:sz w:val="22"/>
                <w:szCs w:val="22"/>
                <w:lang w:val="en-US"/>
              </w:rPr>
            </w:pPr>
            <w:r w:rsidRPr="00C21DE2">
              <w:rPr>
                <w:sz w:val="22"/>
                <w:szCs w:val="22"/>
                <w:lang w:val="en-US"/>
              </w:rPr>
              <w:t>Basis of Payment</w:t>
            </w:r>
          </w:p>
        </w:tc>
        <w:tc>
          <w:tcPr>
            <w:tcW w:w="3493" w:type="dxa"/>
          </w:tcPr>
          <w:p w14:paraId="24B95106" w14:textId="77777777" w:rsidR="006910B6" w:rsidRPr="00C21DE2" w:rsidRDefault="006910B6" w:rsidP="00C21DE2">
            <w:pPr>
              <w:cnfStyle w:val="100000000000" w:firstRow="1" w:lastRow="0" w:firstColumn="0" w:lastColumn="0" w:oddVBand="0" w:evenVBand="0" w:oddHBand="0" w:evenHBand="0" w:firstRowFirstColumn="0" w:firstRowLastColumn="0" w:lastRowFirstColumn="0" w:lastRowLastColumn="0"/>
              <w:rPr>
                <w:sz w:val="22"/>
                <w:szCs w:val="22"/>
                <w:lang w:val="en-US"/>
              </w:rPr>
            </w:pPr>
            <w:r w:rsidRPr="00C21DE2">
              <w:rPr>
                <w:sz w:val="22"/>
                <w:szCs w:val="22"/>
                <w:lang w:val="en-US"/>
              </w:rPr>
              <w:t>Explanation</w:t>
            </w:r>
          </w:p>
        </w:tc>
        <w:tc>
          <w:tcPr>
            <w:tcW w:w="4148" w:type="dxa"/>
          </w:tcPr>
          <w:p w14:paraId="74662167" w14:textId="77777777" w:rsidR="006910B6" w:rsidRPr="00C21DE2" w:rsidRDefault="006910B6" w:rsidP="00C21DE2">
            <w:pPr>
              <w:cnfStyle w:val="100000000000" w:firstRow="1" w:lastRow="0" w:firstColumn="0" w:lastColumn="0" w:oddVBand="0" w:evenVBand="0" w:oddHBand="0" w:evenHBand="0" w:firstRowFirstColumn="0" w:firstRowLastColumn="0" w:lastRowFirstColumn="0" w:lastRowLastColumn="0"/>
              <w:rPr>
                <w:sz w:val="22"/>
                <w:szCs w:val="22"/>
                <w:lang w:val="en-US"/>
              </w:rPr>
            </w:pPr>
            <w:r w:rsidRPr="00C21DE2">
              <w:rPr>
                <w:sz w:val="22"/>
                <w:szCs w:val="22"/>
                <w:lang w:val="en-US"/>
              </w:rPr>
              <w:t>Pros and Cons</w:t>
            </w:r>
          </w:p>
        </w:tc>
      </w:tr>
      <w:tr w:rsidR="006910B6" w14:paraId="13B4E719" w14:textId="77777777" w:rsidTr="00166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4" w:type="dxa"/>
          </w:tcPr>
          <w:p w14:paraId="146379D3" w14:textId="77777777" w:rsidR="006910B6" w:rsidRPr="00C21DE2" w:rsidRDefault="006910B6" w:rsidP="00E32FAE">
            <w:pPr>
              <w:jc w:val="left"/>
              <w:rPr>
                <w:rFonts w:cs="Times New Roman"/>
                <w:sz w:val="22"/>
                <w:szCs w:val="22"/>
                <w:lang w:val="en-US"/>
              </w:rPr>
            </w:pPr>
            <w:r w:rsidRPr="00C21DE2">
              <w:rPr>
                <w:rFonts w:cs="Times New Roman"/>
                <w:sz w:val="22"/>
                <w:szCs w:val="22"/>
                <w:lang w:val="en-US"/>
              </w:rPr>
              <w:t xml:space="preserve">Pledges or donations </w:t>
            </w:r>
          </w:p>
          <w:p w14:paraId="47455524" w14:textId="77777777" w:rsidR="006910B6" w:rsidRPr="00C21DE2" w:rsidRDefault="006910B6" w:rsidP="00C21DE2">
            <w:pPr>
              <w:rPr>
                <w:rFonts w:cs="Times New Roman"/>
                <w:sz w:val="22"/>
                <w:szCs w:val="22"/>
                <w:lang w:val="en-US"/>
              </w:rPr>
            </w:pPr>
          </w:p>
        </w:tc>
        <w:tc>
          <w:tcPr>
            <w:tcW w:w="3493" w:type="dxa"/>
          </w:tcPr>
          <w:p w14:paraId="49E0167A" w14:textId="6BFE3AC2"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Collected by each person/family when there is</w:t>
            </w:r>
            <w:r w:rsidR="00292184">
              <w:rPr>
                <w:sz w:val="22"/>
                <w:szCs w:val="22"/>
                <w:lang w:val="en-US"/>
              </w:rPr>
              <w:t xml:space="preserve"> a</w:t>
            </w:r>
            <w:r w:rsidRPr="00C21DE2">
              <w:rPr>
                <w:sz w:val="22"/>
                <w:szCs w:val="22"/>
                <w:lang w:val="en-US"/>
              </w:rPr>
              <w:t xml:space="preserve"> need for operating and maintenance expenditures. </w:t>
            </w:r>
          </w:p>
        </w:tc>
        <w:tc>
          <w:tcPr>
            <w:tcW w:w="4148" w:type="dxa"/>
          </w:tcPr>
          <w:p w14:paraId="34CB1C57"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i/>
                <w:sz w:val="22"/>
                <w:szCs w:val="22"/>
                <w:lang w:val="en-US"/>
              </w:rPr>
            </w:pPr>
            <w:r w:rsidRPr="00C21DE2">
              <w:rPr>
                <w:i/>
                <w:sz w:val="22"/>
                <w:szCs w:val="22"/>
                <w:lang w:val="en-US"/>
              </w:rPr>
              <w:t>Pro:</w:t>
            </w:r>
          </w:p>
          <w:p w14:paraId="6F0AFD29"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Accounts for user ability to pay.</w:t>
            </w:r>
          </w:p>
          <w:p w14:paraId="139EF9A5"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i/>
                <w:sz w:val="22"/>
                <w:szCs w:val="22"/>
                <w:lang w:val="en-US"/>
              </w:rPr>
            </w:pPr>
            <w:r w:rsidRPr="00C21DE2">
              <w:rPr>
                <w:i/>
                <w:sz w:val="22"/>
                <w:szCs w:val="22"/>
                <w:lang w:val="en-US"/>
              </w:rPr>
              <w:t>Con:</w:t>
            </w:r>
          </w:p>
          <w:p w14:paraId="67B2D275" w14:textId="77777777" w:rsidR="00292184" w:rsidRDefault="006910B6" w:rsidP="00292184">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Does not reflect actual water use</w:t>
            </w:r>
            <w:r w:rsidR="00292184">
              <w:rPr>
                <w:sz w:val="22"/>
                <w:szCs w:val="22"/>
                <w:lang w:val="en-US"/>
              </w:rPr>
              <w:t>:</w:t>
            </w:r>
            <w:r w:rsidR="00292184" w:rsidRPr="00C21DE2">
              <w:rPr>
                <w:sz w:val="22"/>
                <w:szCs w:val="22"/>
                <w:lang w:val="en-US"/>
              </w:rPr>
              <w:t xml:space="preserve"> a household with high consumption may pay the same as a household with low consumption.</w:t>
            </w:r>
            <w:r w:rsidRPr="00C21DE2">
              <w:rPr>
                <w:sz w:val="22"/>
                <w:szCs w:val="22"/>
                <w:lang w:val="en-US"/>
              </w:rPr>
              <w:t xml:space="preserve"> </w:t>
            </w:r>
          </w:p>
          <w:p w14:paraId="54DBEA35" w14:textId="5240B1A9" w:rsidR="006910B6" w:rsidRPr="00C21DE2" w:rsidRDefault="006910B6" w:rsidP="00292184">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 xml:space="preserve">Contributions may not </w:t>
            </w:r>
            <w:r w:rsidR="00292184">
              <w:rPr>
                <w:sz w:val="22"/>
                <w:szCs w:val="22"/>
                <w:lang w:val="en-US"/>
              </w:rPr>
              <w:t>be sufficient to cover repairs when needed or ensure a reliable supply of fuel for generators.</w:t>
            </w:r>
          </w:p>
        </w:tc>
      </w:tr>
      <w:tr w:rsidR="006910B6" w14:paraId="1B0F935E" w14:textId="77777777" w:rsidTr="001661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4" w:type="dxa"/>
          </w:tcPr>
          <w:p w14:paraId="1E125684" w14:textId="77777777" w:rsidR="006910B6" w:rsidRPr="00C21DE2" w:rsidRDefault="006910B6" w:rsidP="00C21DE2">
            <w:pPr>
              <w:rPr>
                <w:rFonts w:cs="Times New Roman"/>
                <w:sz w:val="22"/>
                <w:szCs w:val="22"/>
                <w:lang w:val="en-US"/>
              </w:rPr>
            </w:pPr>
            <w:r w:rsidRPr="00C21DE2">
              <w:rPr>
                <w:rFonts w:cs="Times New Roman"/>
                <w:sz w:val="22"/>
                <w:szCs w:val="22"/>
                <w:lang w:val="en-US"/>
              </w:rPr>
              <w:t xml:space="preserve">Payment in kind </w:t>
            </w:r>
          </w:p>
          <w:p w14:paraId="408DD4C7" w14:textId="77777777" w:rsidR="006910B6" w:rsidRPr="00C21DE2" w:rsidRDefault="006910B6" w:rsidP="00C21DE2">
            <w:pPr>
              <w:rPr>
                <w:rFonts w:cs="Times New Roman"/>
                <w:sz w:val="22"/>
                <w:szCs w:val="22"/>
                <w:lang w:val="en-US"/>
              </w:rPr>
            </w:pPr>
          </w:p>
        </w:tc>
        <w:tc>
          <w:tcPr>
            <w:tcW w:w="3493" w:type="dxa"/>
          </w:tcPr>
          <w:p w14:paraId="1C28B36E"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lastRenderedPageBreak/>
              <w:t xml:space="preserve">By giving of </w:t>
            </w:r>
            <w:proofErr w:type="spellStart"/>
            <w:r w:rsidRPr="00C21DE2">
              <w:rPr>
                <w:sz w:val="22"/>
                <w:szCs w:val="22"/>
                <w:lang w:val="en-US"/>
              </w:rPr>
              <w:t>labour</w:t>
            </w:r>
            <w:proofErr w:type="spellEnd"/>
            <w:r w:rsidRPr="00C21DE2">
              <w:rPr>
                <w:sz w:val="22"/>
                <w:szCs w:val="22"/>
                <w:lang w:val="en-US"/>
              </w:rPr>
              <w:t xml:space="preserve">, livestock or </w:t>
            </w:r>
            <w:r w:rsidRPr="00C21DE2">
              <w:rPr>
                <w:sz w:val="22"/>
                <w:szCs w:val="22"/>
                <w:lang w:val="en-US"/>
              </w:rPr>
              <w:lastRenderedPageBreak/>
              <w:t xml:space="preserve">crops at harvest time. </w:t>
            </w:r>
          </w:p>
        </w:tc>
        <w:tc>
          <w:tcPr>
            <w:tcW w:w="4148" w:type="dxa"/>
          </w:tcPr>
          <w:p w14:paraId="60785455"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i/>
                <w:sz w:val="22"/>
                <w:szCs w:val="22"/>
                <w:lang w:val="en-US"/>
              </w:rPr>
            </w:pPr>
            <w:r w:rsidRPr="00C21DE2">
              <w:rPr>
                <w:i/>
                <w:sz w:val="22"/>
                <w:szCs w:val="22"/>
                <w:lang w:val="en-US"/>
              </w:rPr>
              <w:lastRenderedPageBreak/>
              <w:t>Pro:</w:t>
            </w:r>
          </w:p>
          <w:p w14:paraId="034824C3"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lastRenderedPageBreak/>
              <w:t>Provides an alternative basis of payment for cash poor households.</w:t>
            </w:r>
          </w:p>
          <w:p w14:paraId="01B70531"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i/>
                <w:sz w:val="22"/>
                <w:szCs w:val="22"/>
                <w:lang w:val="en-US"/>
              </w:rPr>
            </w:pPr>
            <w:r w:rsidRPr="00C21DE2">
              <w:rPr>
                <w:i/>
                <w:sz w:val="22"/>
                <w:szCs w:val="22"/>
                <w:lang w:val="en-US"/>
              </w:rPr>
              <w:t>Con:</w:t>
            </w:r>
          </w:p>
          <w:p w14:paraId="654ECCB1" w14:textId="17587E8E" w:rsidR="006910B6" w:rsidRPr="00C21DE2" w:rsidRDefault="006910B6" w:rsidP="006C30D9">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t xml:space="preserve">Difficulties </w:t>
            </w:r>
            <w:r w:rsidR="006C30D9">
              <w:rPr>
                <w:sz w:val="22"/>
                <w:szCs w:val="22"/>
                <w:lang w:val="en-US"/>
              </w:rPr>
              <w:t>with</w:t>
            </w:r>
            <w:r w:rsidRPr="00C21DE2">
              <w:rPr>
                <w:sz w:val="22"/>
                <w:szCs w:val="22"/>
                <w:lang w:val="en-US"/>
              </w:rPr>
              <w:t xml:space="preserve"> people's perceptions of value.</w:t>
            </w:r>
            <w:r w:rsidR="006C30D9">
              <w:rPr>
                <w:sz w:val="22"/>
                <w:szCs w:val="22"/>
                <w:lang w:val="en-US"/>
              </w:rPr>
              <w:t xml:space="preserve"> Note an appropriate substitute for cash in all circumstances.</w:t>
            </w:r>
          </w:p>
        </w:tc>
      </w:tr>
      <w:tr w:rsidR="006910B6" w14:paraId="0EED7D02" w14:textId="77777777" w:rsidTr="00166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4" w:type="dxa"/>
          </w:tcPr>
          <w:p w14:paraId="3F952CA7" w14:textId="77777777" w:rsidR="006910B6" w:rsidRPr="00C21DE2" w:rsidRDefault="006910B6" w:rsidP="00C21DE2">
            <w:pPr>
              <w:rPr>
                <w:rFonts w:cs="Times New Roman"/>
                <w:sz w:val="22"/>
                <w:szCs w:val="22"/>
                <w:lang w:val="en-US"/>
              </w:rPr>
            </w:pPr>
            <w:r w:rsidRPr="00C21DE2">
              <w:rPr>
                <w:rFonts w:cs="Times New Roman"/>
                <w:sz w:val="22"/>
                <w:szCs w:val="22"/>
                <w:lang w:val="en-US"/>
              </w:rPr>
              <w:lastRenderedPageBreak/>
              <w:t xml:space="preserve">Community levies </w:t>
            </w:r>
          </w:p>
          <w:p w14:paraId="58DEE2A6" w14:textId="77777777" w:rsidR="006910B6" w:rsidRPr="00C21DE2" w:rsidRDefault="006910B6" w:rsidP="00C21DE2">
            <w:pPr>
              <w:rPr>
                <w:rFonts w:cs="Times New Roman"/>
                <w:sz w:val="22"/>
                <w:szCs w:val="22"/>
                <w:lang w:val="en-US"/>
              </w:rPr>
            </w:pPr>
          </w:p>
        </w:tc>
        <w:tc>
          <w:tcPr>
            <w:tcW w:w="3493" w:type="dxa"/>
          </w:tcPr>
          <w:p w14:paraId="79A9EE4A" w14:textId="29B77FF1" w:rsidR="003A4E0A" w:rsidRPr="00C21DE2" w:rsidRDefault="006910B6" w:rsidP="00E32FAE">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Can be charged per head, per household, flat rates or stepped</w:t>
            </w:r>
            <w:r w:rsidR="00E32FAE">
              <w:rPr>
                <w:sz w:val="22"/>
                <w:szCs w:val="22"/>
                <w:lang w:val="en-US"/>
              </w:rPr>
              <w:t xml:space="preserve"> rates according to wealth/land.</w:t>
            </w:r>
            <w:r w:rsidRPr="00C21DE2">
              <w:rPr>
                <w:sz w:val="22"/>
                <w:szCs w:val="22"/>
                <w:lang w:val="en-US"/>
              </w:rPr>
              <w:t xml:space="preserve"> </w:t>
            </w:r>
          </w:p>
        </w:tc>
        <w:tc>
          <w:tcPr>
            <w:tcW w:w="4148" w:type="dxa"/>
          </w:tcPr>
          <w:p w14:paraId="072793FB"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i/>
                <w:sz w:val="22"/>
                <w:szCs w:val="22"/>
                <w:lang w:val="en-US"/>
              </w:rPr>
            </w:pPr>
            <w:r w:rsidRPr="00C21DE2">
              <w:rPr>
                <w:i/>
                <w:sz w:val="22"/>
                <w:szCs w:val="22"/>
                <w:lang w:val="en-US"/>
              </w:rPr>
              <w:t>Pro:</w:t>
            </w:r>
          </w:p>
          <w:p w14:paraId="1464CAD8" w14:textId="2831BBB5" w:rsidR="006910B6" w:rsidRPr="00C21DE2" w:rsidRDefault="00E32FAE" w:rsidP="00C21DE2">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Provides a t</w:t>
            </w:r>
            <w:r w:rsidR="006910B6" w:rsidRPr="00C21DE2">
              <w:rPr>
                <w:sz w:val="22"/>
                <w:szCs w:val="22"/>
                <w:lang w:val="en-US"/>
              </w:rPr>
              <w:t xml:space="preserve">ransparent basis of payment for the community that can account for differences in household wealth and thus ability to pay. </w:t>
            </w:r>
          </w:p>
          <w:p w14:paraId="79C67EF5"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i/>
                <w:sz w:val="22"/>
                <w:szCs w:val="22"/>
                <w:lang w:val="en-US"/>
              </w:rPr>
            </w:pPr>
            <w:r w:rsidRPr="00C21DE2">
              <w:rPr>
                <w:i/>
                <w:sz w:val="22"/>
                <w:szCs w:val="22"/>
                <w:lang w:val="en-US"/>
              </w:rPr>
              <w:t>Con:</w:t>
            </w:r>
          </w:p>
          <w:p w14:paraId="4F016993"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Raises equity issues as with pledges and donations.</w:t>
            </w:r>
          </w:p>
          <w:p w14:paraId="043C0DE3" w14:textId="77777777" w:rsidR="006910B6" w:rsidRPr="00C21DE2" w:rsidRDefault="006910B6" w:rsidP="00C21DE2">
            <w:pPr>
              <w:cnfStyle w:val="000000100000" w:firstRow="0" w:lastRow="0" w:firstColumn="0" w:lastColumn="0" w:oddVBand="0" w:evenVBand="0" w:oddHBand="1" w:evenHBand="0" w:firstRowFirstColumn="0" w:firstRowLastColumn="0" w:lastRowFirstColumn="0" w:lastRowLastColumn="0"/>
              <w:rPr>
                <w:sz w:val="22"/>
                <w:szCs w:val="22"/>
                <w:lang w:val="en-US"/>
              </w:rPr>
            </w:pPr>
            <w:r w:rsidRPr="00C21DE2">
              <w:rPr>
                <w:sz w:val="22"/>
                <w:szCs w:val="22"/>
                <w:lang w:val="en-US"/>
              </w:rPr>
              <w:t>Difficulty of communicating decisions on billing might lead to problems of collection.</w:t>
            </w:r>
          </w:p>
        </w:tc>
      </w:tr>
      <w:tr w:rsidR="006910B6" w14:paraId="38742AE5" w14:textId="77777777" w:rsidTr="001661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4" w:type="dxa"/>
          </w:tcPr>
          <w:p w14:paraId="47E16A67" w14:textId="322187BF" w:rsidR="006910B6" w:rsidRPr="00C21DE2" w:rsidRDefault="006910B6" w:rsidP="00E32FAE">
            <w:pPr>
              <w:jc w:val="left"/>
              <w:rPr>
                <w:rFonts w:cs="Times New Roman"/>
                <w:sz w:val="22"/>
                <w:szCs w:val="22"/>
                <w:lang w:val="en-US"/>
              </w:rPr>
            </w:pPr>
            <w:r w:rsidRPr="00C21DE2">
              <w:rPr>
                <w:rFonts w:cs="Times New Roman"/>
                <w:sz w:val="22"/>
                <w:szCs w:val="22"/>
                <w:lang w:val="en-US"/>
              </w:rPr>
              <w:t xml:space="preserve">Tariffs or levies </w:t>
            </w:r>
            <w:r w:rsidR="00E32FAE">
              <w:rPr>
                <w:rFonts w:cs="Times New Roman"/>
                <w:sz w:val="22"/>
                <w:szCs w:val="22"/>
                <w:lang w:val="en-US"/>
              </w:rPr>
              <w:t>charged</w:t>
            </w:r>
            <w:r w:rsidRPr="00C21DE2">
              <w:rPr>
                <w:rFonts w:cs="Times New Roman"/>
                <w:sz w:val="22"/>
                <w:szCs w:val="22"/>
                <w:lang w:val="en-US"/>
              </w:rPr>
              <w:t xml:space="preserve"> by the service provider </w:t>
            </w:r>
          </w:p>
        </w:tc>
        <w:tc>
          <w:tcPr>
            <w:tcW w:w="3493" w:type="dxa"/>
          </w:tcPr>
          <w:p w14:paraId="2DBBBF7F" w14:textId="79391B83"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t xml:space="preserve">Per </w:t>
            </w:r>
            <w:proofErr w:type="spellStart"/>
            <w:r w:rsidRPr="00C21DE2">
              <w:rPr>
                <w:sz w:val="22"/>
                <w:szCs w:val="22"/>
                <w:lang w:val="en-US"/>
              </w:rPr>
              <w:t>handpump</w:t>
            </w:r>
            <w:proofErr w:type="spellEnd"/>
            <w:r w:rsidRPr="00C21DE2">
              <w:rPr>
                <w:sz w:val="22"/>
                <w:szCs w:val="22"/>
                <w:lang w:val="en-US"/>
              </w:rPr>
              <w:t xml:space="preserve">, per </w:t>
            </w:r>
            <w:proofErr w:type="spellStart"/>
            <w:r w:rsidRPr="00C21DE2">
              <w:rPr>
                <w:sz w:val="22"/>
                <w:szCs w:val="22"/>
                <w:lang w:val="en-US"/>
              </w:rPr>
              <w:t>standpost</w:t>
            </w:r>
            <w:proofErr w:type="spellEnd"/>
            <w:r w:rsidRPr="00C21DE2">
              <w:rPr>
                <w:sz w:val="22"/>
                <w:szCs w:val="22"/>
                <w:lang w:val="en-US"/>
              </w:rPr>
              <w:t xml:space="preserve">, per container of water supplied </w:t>
            </w:r>
            <w:r w:rsidRPr="00C21DE2">
              <w:rPr>
                <w:sz w:val="22"/>
                <w:szCs w:val="22"/>
                <w:lang w:val="en-US"/>
              </w:rPr>
              <w:br/>
              <w:t xml:space="preserve">(flat rates, graded rates, mixed rates). </w:t>
            </w:r>
          </w:p>
          <w:p w14:paraId="16AE28F5"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p>
        </w:tc>
        <w:tc>
          <w:tcPr>
            <w:tcW w:w="4148" w:type="dxa"/>
          </w:tcPr>
          <w:p w14:paraId="3265ECDC"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i/>
                <w:sz w:val="22"/>
                <w:szCs w:val="22"/>
                <w:lang w:val="en-US"/>
              </w:rPr>
            </w:pPr>
            <w:r w:rsidRPr="00C21DE2">
              <w:rPr>
                <w:i/>
                <w:sz w:val="22"/>
                <w:szCs w:val="22"/>
                <w:lang w:val="en-US"/>
              </w:rPr>
              <w:t>Pro:</w:t>
            </w:r>
          </w:p>
          <w:p w14:paraId="0B3C940F"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t xml:space="preserve">People are charged per </w:t>
            </w:r>
            <w:proofErr w:type="spellStart"/>
            <w:r w:rsidRPr="00C21DE2">
              <w:rPr>
                <w:sz w:val="22"/>
                <w:szCs w:val="22"/>
                <w:lang w:val="en-US"/>
              </w:rPr>
              <w:t>litre</w:t>
            </w:r>
            <w:proofErr w:type="spellEnd"/>
            <w:r w:rsidRPr="00C21DE2">
              <w:rPr>
                <w:sz w:val="22"/>
                <w:szCs w:val="22"/>
                <w:lang w:val="en-US"/>
              </w:rPr>
              <w:t xml:space="preserve"> consumed, resulting in equity between consumers and/or households.</w:t>
            </w:r>
          </w:p>
          <w:p w14:paraId="2E08B8A6"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t>Pricing can be structured to allow for differences in ability to pay.</w:t>
            </w:r>
          </w:p>
          <w:p w14:paraId="1FA090CC" w14:textId="77777777"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i/>
                <w:sz w:val="22"/>
                <w:szCs w:val="22"/>
                <w:lang w:val="en-US"/>
              </w:rPr>
            </w:pPr>
            <w:r w:rsidRPr="00C21DE2">
              <w:rPr>
                <w:i/>
                <w:sz w:val="22"/>
                <w:szCs w:val="22"/>
                <w:lang w:val="en-US"/>
              </w:rPr>
              <w:t>Con:</w:t>
            </w:r>
          </w:p>
          <w:p w14:paraId="6DDFA970" w14:textId="062A3038" w:rsidR="006910B6" w:rsidRPr="00C21DE2" w:rsidRDefault="006910B6" w:rsidP="00C21DE2">
            <w:pPr>
              <w:cnfStyle w:val="000000010000" w:firstRow="0" w:lastRow="0" w:firstColumn="0" w:lastColumn="0" w:oddVBand="0" w:evenVBand="0" w:oddHBand="0" w:evenHBand="1" w:firstRowFirstColumn="0" w:firstRowLastColumn="0" w:lastRowFirstColumn="0" w:lastRowLastColumn="0"/>
              <w:rPr>
                <w:sz w:val="22"/>
                <w:szCs w:val="22"/>
                <w:lang w:val="en-US"/>
              </w:rPr>
            </w:pPr>
            <w:r w:rsidRPr="00C21DE2">
              <w:rPr>
                <w:sz w:val="22"/>
                <w:szCs w:val="22"/>
                <w:lang w:val="en-US"/>
              </w:rPr>
              <w:t xml:space="preserve">Less flexibility over </w:t>
            </w:r>
            <w:r w:rsidR="00CE383E">
              <w:rPr>
                <w:sz w:val="22"/>
                <w:szCs w:val="22"/>
                <w:lang w:val="en-US"/>
              </w:rPr>
              <w:t xml:space="preserve">the </w:t>
            </w:r>
            <w:r w:rsidRPr="00C21DE2">
              <w:rPr>
                <w:sz w:val="22"/>
                <w:szCs w:val="22"/>
                <w:lang w:val="en-US"/>
              </w:rPr>
              <w:t xml:space="preserve">form of payment and </w:t>
            </w:r>
            <w:r w:rsidR="00CE383E">
              <w:rPr>
                <w:sz w:val="22"/>
                <w:szCs w:val="22"/>
                <w:lang w:val="en-US"/>
              </w:rPr>
              <w:t xml:space="preserve">the </w:t>
            </w:r>
            <w:r w:rsidRPr="00C21DE2">
              <w:rPr>
                <w:sz w:val="22"/>
                <w:szCs w:val="22"/>
                <w:lang w:val="en-US"/>
              </w:rPr>
              <w:t>timing of</w:t>
            </w:r>
            <w:r w:rsidR="00C75855">
              <w:rPr>
                <w:sz w:val="22"/>
                <w:szCs w:val="22"/>
                <w:lang w:val="en-US"/>
              </w:rPr>
              <w:t xml:space="preserve"> the</w:t>
            </w:r>
            <w:r w:rsidRPr="00C21DE2">
              <w:rPr>
                <w:sz w:val="22"/>
                <w:szCs w:val="22"/>
                <w:lang w:val="en-US"/>
              </w:rPr>
              <w:t xml:space="preserve"> payment.</w:t>
            </w:r>
          </w:p>
        </w:tc>
      </w:tr>
    </w:tbl>
    <w:p w14:paraId="4EBD2934" w14:textId="5C46AB93" w:rsidR="00177EEB" w:rsidRDefault="00177EEB" w:rsidP="009E6651">
      <w:pPr>
        <w:rPr>
          <w:lang w:val="en-US"/>
        </w:rPr>
      </w:pPr>
    </w:p>
    <w:p w14:paraId="260690EE" w14:textId="77777777" w:rsidR="004E777C" w:rsidRDefault="004E777C" w:rsidP="00A62685">
      <w:pPr>
        <w:pStyle w:val="Heading2"/>
        <w:sectPr w:rsidR="004E777C" w:rsidSect="00637561">
          <w:type w:val="continuous"/>
          <w:pgSz w:w="11900" w:h="16840"/>
          <w:pgMar w:top="1440" w:right="1080" w:bottom="1440" w:left="1080" w:header="708" w:footer="708" w:gutter="0"/>
          <w:cols w:space="708"/>
          <w:docGrid w:linePitch="360"/>
        </w:sectPr>
      </w:pPr>
    </w:p>
    <w:p w14:paraId="1D541F48" w14:textId="78B07F0A" w:rsidR="00971523" w:rsidRDefault="009A6C6E" w:rsidP="00A62685">
      <w:pPr>
        <w:pStyle w:val="Heading2"/>
      </w:pPr>
      <w:bookmarkStart w:id="20" w:name="_Toc420755119"/>
      <w:r>
        <w:lastRenderedPageBreak/>
        <w:t>Setting a Water Tariff or Levy</w:t>
      </w:r>
      <w:bookmarkEnd w:id="20"/>
    </w:p>
    <w:p w14:paraId="3F40C1D5" w14:textId="17F5BBB3" w:rsidR="00971523" w:rsidRDefault="00971523" w:rsidP="009A6C6E">
      <w:r>
        <w:t xml:space="preserve">There are a number of factors that can influence the price of a water tariff or levy. For example, a study on the sustainability of rural, small piped water services in Rwanda found that the energy source for conveying water through a system was the main cost driver behind the price of a water tariff. Pumps that rely on a diesel water supply have higher operating costs due to the </w:t>
      </w:r>
      <w:r>
        <w:lastRenderedPageBreak/>
        <w:t>cost of fuel. Conversely, gravity fed systems have lower operating costs, resulting in a lo</w:t>
      </w:r>
      <w:r w:rsidR="009A5063">
        <w:t>wer price for the water tariff.</w:t>
      </w:r>
    </w:p>
    <w:p w14:paraId="531F7A89" w14:textId="09565230" w:rsidR="00971523" w:rsidRDefault="00971523" w:rsidP="009A6C6E">
      <w:r>
        <w:t xml:space="preserve">At least in the case of Rwanda, the system characteristics are directly linked to the price of the water tariff. The price is </w:t>
      </w:r>
      <w:r w:rsidR="007674B1">
        <w:t>however balanced</w:t>
      </w:r>
      <w:r>
        <w:t xml:space="preserve"> against consumer demand. Research indicates that consumer demand for water supply in Rwanda is price elastic – an increase in the </w:t>
      </w:r>
      <w:r>
        <w:lastRenderedPageBreak/>
        <w:t xml:space="preserve">price of the water tariff causes consumers to substitute their water consumption with </w:t>
      </w:r>
      <w:r>
        <w:lastRenderedPageBreak/>
        <w:t>cheaper alternatives, such as springs and rivers.</w:t>
      </w:r>
    </w:p>
    <w:p w14:paraId="1325258C" w14:textId="77777777" w:rsidR="003A4E0A" w:rsidRDefault="003A4E0A" w:rsidP="009A5063">
      <w:pPr>
        <w:widowControl w:val="0"/>
        <w:autoSpaceDE w:val="0"/>
        <w:autoSpaceDN w:val="0"/>
        <w:adjustRightInd w:val="0"/>
        <w:spacing w:after="120"/>
        <w:rPr>
          <w:lang w:val="en-US"/>
        </w:rPr>
        <w:sectPr w:rsidR="003A4E0A" w:rsidSect="004E777C">
          <w:type w:val="continuous"/>
          <w:pgSz w:w="11900" w:h="16840"/>
          <w:pgMar w:top="1440" w:right="1080" w:bottom="1440" w:left="1080" w:header="708" w:footer="708" w:gutter="0"/>
          <w:cols w:num="2" w:space="708"/>
          <w:docGrid w:linePitch="360"/>
        </w:sectPr>
      </w:pPr>
    </w:p>
    <w:p w14:paraId="131E19A5" w14:textId="77777777" w:rsidR="003A4E0A" w:rsidRDefault="003A4E0A" w:rsidP="009A5063">
      <w:pPr>
        <w:widowControl w:val="0"/>
        <w:autoSpaceDE w:val="0"/>
        <w:autoSpaceDN w:val="0"/>
        <w:adjustRightInd w:val="0"/>
        <w:spacing w:after="120"/>
        <w:rPr>
          <w:lang w:val="en-US"/>
        </w:rPr>
      </w:pPr>
    </w:p>
    <w:p w14:paraId="08878DDE" w14:textId="77777777" w:rsidR="003A4E0A" w:rsidRDefault="003A4E0A" w:rsidP="009A5063">
      <w:pPr>
        <w:widowControl w:val="0"/>
        <w:autoSpaceDE w:val="0"/>
        <w:autoSpaceDN w:val="0"/>
        <w:adjustRightInd w:val="0"/>
        <w:spacing w:after="120"/>
        <w:rPr>
          <w:lang w:val="en-US"/>
        </w:rPr>
        <w:sectPr w:rsidR="003A4E0A" w:rsidSect="004E777C">
          <w:type w:val="continuous"/>
          <w:pgSz w:w="11900" w:h="16840"/>
          <w:pgMar w:top="1440" w:right="1080" w:bottom="1440" w:left="1080" w:header="708" w:footer="708" w:gutter="0"/>
          <w:cols w:num="2" w:space="708"/>
          <w:docGrid w:linePitch="360"/>
        </w:sectPr>
      </w:pPr>
    </w:p>
    <w:p w14:paraId="7AB9B3C2" w14:textId="687FA599" w:rsidR="003A4E0A" w:rsidRDefault="003A4E0A" w:rsidP="003A4E0A">
      <w:r w:rsidRPr="00C21DE2">
        <w:rPr>
          <w:rFonts w:cs="Arial"/>
          <w:b/>
          <w:bCs/>
          <w:lang w:val="en-GB"/>
        </w:rPr>
        <w:lastRenderedPageBreak/>
        <w:t xml:space="preserve">Table </w:t>
      </w:r>
      <w:r w:rsidRPr="00C21DE2">
        <w:rPr>
          <w:rFonts w:cs="Arial"/>
          <w:b/>
          <w:bCs/>
          <w:highlight w:val="yellow"/>
          <w:lang w:val="en-GB"/>
        </w:rPr>
        <w:t>X</w:t>
      </w:r>
      <w:r w:rsidRPr="00C21DE2">
        <w:rPr>
          <w:rFonts w:cs="Arial"/>
          <w:b/>
          <w:bCs/>
          <w:lang w:val="en-GB"/>
        </w:rPr>
        <w:t>. Market prices for water tariffs by energy source in Rwanda</w:t>
      </w:r>
      <w:r w:rsidRPr="002B14B4">
        <w:rPr>
          <w:rFonts w:ascii="Arial" w:hAnsi="Arial" w:cs="Arial"/>
          <w:b/>
          <w:bCs/>
          <w:sz w:val="18"/>
          <w:szCs w:val="18"/>
          <w:lang w:val="en-GB"/>
        </w:rPr>
        <w:t>.</w:t>
      </w:r>
    </w:p>
    <w:tbl>
      <w:tblPr>
        <w:tblStyle w:val="TableGrid"/>
        <w:tblW w:w="0" w:type="auto"/>
        <w:tblLayout w:type="fixed"/>
        <w:tblLook w:val="04A0" w:firstRow="1" w:lastRow="0" w:firstColumn="1" w:lastColumn="0" w:noHBand="0" w:noVBand="1"/>
      </w:tblPr>
      <w:tblGrid>
        <w:gridCol w:w="5175"/>
        <w:gridCol w:w="2115"/>
      </w:tblGrid>
      <w:tr w:rsidR="003A4E0A" w:rsidRPr="002B14B4" w14:paraId="6EE21755" w14:textId="77777777" w:rsidTr="005500A9">
        <w:trPr>
          <w:trHeight w:val="343"/>
        </w:trPr>
        <w:tc>
          <w:tcPr>
            <w:tcW w:w="5175" w:type="dxa"/>
            <w:shd w:val="clear" w:color="auto" w:fill="F2F2F2" w:themeFill="background1" w:themeFillShade="F2"/>
          </w:tcPr>
          <w:p w14:paraId="41320B38" w14:textId="77777777" w:rsidR="003A4E0A" w:rsidRPr="00C21DE2" w:rsidRDefault="003A4E0A" w:rsidP="00E93AFE">
            <w:pPr>
              <w:widowControl w:val="0"/>
              <w:autoSpaceDE w:val="0"/>
              <w:autoSpaceDN w:val="0"/>
              <w:adjustRightInd w:val="0"/>
              <w:spacing w:before="60" w:after="60"/>
              <w:rPr>
                <w:lang w:val="en-US"/>
              </w:rPr>
            </w:pPr>
            <w:r w:rsidRPr="00C21DE2">
              <w:rPr>
                <w:lang w:val="en-US"/>
              </w:rPr>
              <w:t>Source of Energy</w:t>
            </w:r>
          </w:p>
        </w:tc>
        <w:tc>
          <w:tcPr>
            <w:tcW w:w="2115" w:type="dxa"/>
            <w:shd w:val="clear" w:color="auto" w:fill="F2F2F2" w:themeFill="background1" w:themeFillShade="F2"/>
          </w:tcPr>
          <w:p w14:paraId="37E532FE" w14:textId="77777777" w:rsidR="003A4E0A" w:rsidRPr="00C21DE2" w:rsidRDefault="003A4E0A" w:rsidP="00E93AFE">
            <w:pPr>
              <w:widowControl w:val="0"/>
              <w:autoSpaceDE w:val="0"/>
              <w:autoSpaceDN w:val="0"/>
              <w:adjustRightInd w:val="0"/>
              <w:spacing w:before="60" w:after="60"/>
              <w:rPr>
                <w:lang w:val="en-US"/>
              </w:rPr>
            </w:pPr>
            <w:r w:rsidRPr="00C21DE2">
              <w:rPr>
                <w:lang w:val="en-US"/>
              </w:rPr>
              <w:t xml:space="preserve">Cost per 20 </w:t>
            </w:r>
            <w:proofErr w:type="spellStart"/>
            <w:r w:rsidRPr="00C21DE2">
              <w:rPr>
                <w:lang w:val="en-US"/>
              </w:rPr>
              <w:t>ltr</w:t>
            </w:r>
            <w:proofErr w:type="spellEnd"/>
            <w:r w:rsidRPr="00C21DE2">
              <w:rPr>
                <w:lang w:val="en-US"/>
              </w:rPr>
              <w:t xml:space="preserve">. </w:t>
            </w:r>
            <w:r w:rsidRPr="00C21DE2">
              <w:rPr>
                <w:lang w:val="en-US"/>
              </w:rPr>
              <w:br/>
              <w:t>Jerry Can (RWF)</w:t>
            </w:r>
          </w:p>
        </w:tc>
      </w:tr>
      <w:tr w:rsidR="003A4E0A" w:rsidRPr="002B14B4" w14:paraId="1E09A0D5" w14:textId="77777777" w:rsidTr="005500A9">
        <w:tc>
          <w:tcPr>
            <w:tcW w:w="5175" w:type="dxa"/>
          </w:tcPr>
          <w:p w14:paraId="72A608A5" w14:textId="77777777" w:rsidR="003A4E0A" w:rsidRPr="00C21DE2" w:rsidRDefault="003A4E0A" w:rsidP="00E93AFE">
            <w:pPr>
              <w:widowControl w:val="0"/>
              <w:autoSpaceDE w:val="0"/>
              <w:autoSpaceDN w:val="0"/>
              <w:adjustRightInd w:val="0"/>
              <w:spacing w:before="60" w:after="60"/>
              <w:rPr>
                <w:lang w:val="en-US"/>
              </w:rPr>
            </w:pPr>
            <w:r w:rsidRPr="00C21DE2">
              <w:rPr>
                <w:lang w:val="en-US"/>
              </w:rPr>
              <w:t>Gravity-fed system</w:t>
            </w:r>
          </w:p>
        </w:tc>
        <w:tc>
          <w:tcPr>
            <w:tcW w:w="2115" w:type="dxa"/>
          </w:tcPr>
          <w:p w14:paraId="66A68A04" w14:textId="77777777" w:rsidR="003A4E0A" w:rsidRPr="00C21DE2" w:rsidRDefault="003A4E0A" w:rsidP="00E93AFE">
            <w:pPr>
              <w:widowControl w:val="0"/>
              <w:autoSpaceDE w:val="0"/>
              <w:autoSpaceDN w:val="0"/>
              <w:adjustRightInd w:val="0"/>
              <w:spacing w:before="60" w:after="60"/>
              <w:jc w:val="center"/>
              <w:rPr>
                <w:lang w:val="en-US"/>
              </w:rPr>
            </w:pPr>
            <w:r w:rsidRPr="00C21DE2">
              <w:rPr>
                <w:lang w:val="en-US"/>
              </w:rPr>
              <w:t>8 ‒ 10</w:t>
            </w:r>
          </w:p>
        </w:tc>
      </w:tr>
      <w:tr w:rsidR="003A4E0A" w:rsidRPr="002B14B4" w14:paraId="75B8FD5D" w14:textId="77777777" w:rsidTr="005500A9">
        <w:tc>
          <w:tcPr>
            <w:tcW w:w="5175" w:type="dxa"/>
          </w:tcPr>
          <w:p w14:paraId="726BDC00" w14:textId="77777777" w:rsidR="003A4E0A" w:rsidRPr="00C21DE2" w:rsidRDefault="003A4E0A" w:rsidP="00E93AFE">
            <w:pPr>
              <w:widowControl w:val="0"/>
              <w:autoSpaceDE w:val="0"/>
              <w:autoSpaceDN w:val="0"/>
              <w:adjustRightInd w:val="0"/>
              <w:spacing w:before="60" w:after="60"/>
              <w:rPr>
                <w:lang w:val="en-US"/>
              </w:rPr>
            </w:pPr>
            <w:r w:rsidRPr="00C21DE2">
              <w:rPr>
                <w:lang w:val="en-US"/>
              </w:rPr>
              <w:t>Electricity from national grid powering a pump</w:t>
            </w:r>
          </w:p>
        </w:tc>
        <w:tc>
          <w:tcPr>
            <w:tcW w:w="2115" w:type="dxa"/>
          </w:tcPr>
          <w:p w14:paraId="2EE3D6ED" w14:textId="77777777" w:rsidR="003A4E0A" w:rsidRPr="00C21DE2" w:rsidRDefault="003A4E0A" w:rsidP="00E93AFE">
            <w:pPr>
              <w:widowControl w:val="0"/>
              <w:autoSpaceDE w:val="0"/>
              <w:autoSpaceDN w:val="0"/>
              <w:adjustRightInd w:val="0"/>
              <w:spacing w:before="60" w:after="60"/>
              <w:jc w:val="center"/>
              <w:rPr>
                <w:lang w:val="en-US"/>
              </w:rPr>
            </w:pPr>
            <w:r w:rsidRPr="00C21DE2">
              <w:rPr>
                <w:lang w:val="en-US"/>
              </w:rPr>
              <w:t>15 ‒ 20</w:t>
            </w:r>
          </w:p>
        </w:tc>
      </w:tr>
      <w:tr w:rsidR="003A4E0A" w:rsidRPr="002B14B4" w14:paraId="45D4344D" w14:textId="77777777" w:rsidTr="005500A9">
        <w:tc>
          <w:tcPr>
            <w:tcW w:w="5175" w:type="dxa"/>
          </w:tcPr>
          <w:p w14:paraId="54DCCCA0" w14:textId="77777777" w:rsidR="003A4E0A" w:rsidRPr="00C21DE2" w:rsidRDefault="003A4E0A" w:rsidP="00E93AFE">
            <w:pPr>
              <w:widowControl w:val="0"/>
              <w:autoSpaceDE w:val="0"/>
              <w:autoSpaceDN w:val="0"/>
              <w:adjustRightInd w:val="0"/>
              <w:spacing w:before="60" w:after="60"/>
              <w:rPr>
                <w:lang w:val="en-US"/>
              </w:rPr>
            </w:pPr>
            <w:r w:rsidRPr="00C21DE2">
              <w:rPr>
                <w:lang w:val="en-US"/>
              </w:rPr>
              <w:t>Diesel generator powering a pump</w:t>
            </w:r>
          </w:p>
        </w:tc>
        <w:tc>
          <w:tcPr>
            <w:tcW w:w="2115" w:type="dxa"/>
          </w:tcPr>
          <w:p w14:paraId="35A2E912" w14:textId="77777777" w:rsidR="003A4E0A" w:rsidRPr="00C21DE2" w:rsidRDefault="003A4E0A" w:rsidP="00E93AFE">
            <w:pPr>
              <w:widowControl w:val="0"/>
              <w:autoSpaceDE w:val="0"/>
              <w:autoSpaceDN w:val="0"/>
              <w:adjustRightInd w:val="0"/>
              <w:spacing w:before="60" w:after="60"/>
              <w:jc w:val="center"/>
              <w:rPr>
                <w:lang w:val="en-US"/>
              </w:rPr>
            </w:pPr>
            <w:r w:rsidRPr="00C21DE2">
              <w:rPr>
                <w:lang w:val="en-US"/>
              </w:rPr>
              <w:t>30</w:t>
            </w:r>
          </w:p>
        </w:tc>
      </w:tr>
    </w:tbl>
    <w:p w14:paraId="39793267" w14:textId="77777777" w:rsidR="003A4E0A" w:rsidRDefault="003A4E0A" w:rsidP="003A4E0A">
      <w:pPr>
        <w:sectPr w:rsidR="003A4E0A" w:rsidSect="003A4E0A">
          <w:type w:val="continuous"/>
          <w:pgSz w:w="11900" w:h="16840"/>
          <w:pgMar w:top="1440" w:right="1080" w:bottom="1440" w:left="1080" w:header="708" w:footer="708" w:gutter="0"/>
          <w:cols w:space="708"/>
          <w:docGrid w:linePitch="360"/>
        </w:sectPr>
      </w:pPr>
    </w:p>
    <w:p w14:paraId="0F931929" w14:textId="77777777" w:rsidR="003A4E0A" w:rsidRDefault="003A4E0A" w:rsidP="003A4E0A">
      <w:pPr>
        <w:sectPr w:rsidR="003A4E0A" w:rsidSect="003A4E0A">
          <w:type w:val="continuous"/>
          <w:pgSz w:w="11900" w:h="16840"/>
          <w:pgMar w:top="1440" w:right="1080" w:bottom="1440" w:left="1080" w:header="708" w:footer="708" w:gutter="0"/>
          <w:cols w:space="708"/>
          <w:docGrid w:linePitch="360"/>
        </w:sectPr>
      </w:pPr>
    </w:p>
    <w:p w14:paraId="1474E782" w14:textId="5636E612" w:rsidR="009A5063" w:rsidRPr="009A5063" w:rsidRDefault="007674B1" w:rsidP="009A5063">
      <w:pPr>
        <w:widowControl w:val="0"/>
        <w:autoSpaceDE w:val="0"/>
        <w:autoSpaceDN w:val="0"/>
        <w:adjustRightInd w:val="0"/>
        <w:spacing w:after="120"/>
        <w:rPr>
          <w:lang w:val="en-US"/>
        </w:rPr>
      </w:pPr>
      <w:r>
        <w:rPr>
          <w:lang w:val="en-US"/>
        </w:rPr>
        <w:lastRenderedPageBreak/>
        <w:t xml:space="preserve">Consumer demand is an important consideration when setting water tariffs. </w:t>
      </w:r>
      <w:r w:rsidR="009A5063">
        <w:rPr>
          <w:lang w:val="en-US"/>
        </w:rPr>
        <w:t xml:space="preserve">There </w:t>
      </w:r>
      <w:r w:rsidR="009A5063" w:rsidRPr="009A5063">
        <w:rPr>
          <w:lang w:val="en-US"/>
        </w:rPr>
        <w:t xml:space="preserve">are many factors </w:t>
      </w:r>
      <w:r w:rsidR="002E3EF4">
        <w:rPr>
          <w:lang w:val="en-US"/>
        </w:rPr>
        <w:t>that can affect</w:t>
      </w:r>
      <w:r w:rsidR="009A5063" w:rsidRPr="009A5063">
        <w:rPr>
          <w:lang w:val="en-US"/>
        </w:rPr>
        <w:t xml:space="preserve"> household decisions to pay for water or to use an alternative source, which can be grouped as follows:</w:t>
      </w:r>
    </w:p>
    <w:p w14:paraId="63E23294" w14:textId="7AC5AD60" w:rsidR="009A5063" w:rsidRPr="009A5063" w:rsidRDefault="009A5063" w:rsidP="009A5063">
      <w:pPr>
        <w:pStyle w:val="ListParagraph"/>
        <w:widowControl w:val="0"/>
        <w:numPr>
          <w:ilvl w:val="0"/>
          <w:numId w:val="10"/>
        </w:numPr>
        <w:autoSpaceDE w:val="0"/>
        <w:autoSpaceDN w:val="0"/>
        <w:adjustRightInd w:val="0"/>
        <w:spacing w:after="120"/>
        <w:ind w:left="714" w:hanging="357"/>
        <w:contextualSpacing w:val="0"/>
        <w:rPr>
          <w:color w:val="auto"/>
          <w:lang w:val="en-US"/>
        </w:rPr>
      </w:pPr>
      <w:r w:rsidRPr="009A5063">
        <w:rPr>
          <w:i/>
          <w:color w:val="auto"/>
          <w:lang w:val="en-US"/>
        </w:rPr>
        <w:t xml:space="preserve">Attributes of the </w:t>
      </w:r>
      <w:r>
        <w:rPr>
          <w:i/>
          <w:color w:val="auto"/>
          <w:lang w:val="en-US"/>
        </w:rPr>
        <w:t>service</w:t>
      </w:r>
      <w:r w:rsidRPr="009A5063">
        <w:rPr>
          <w:color w:val="auto"/>
          <w:lang w:val="en-US"/>
        </w:rPr>
        <w:t xml:space="preserve">: price, distance to the source, </w:t>
      </w:r>
      <w:r w:rsidR="005500A9">
        <w:rPr>
          <w:color w:val="auto"/>
          <w:lang w:val="en-US"/>
        </w:rPr>
        <w:t>queuing times</w:t>
      </w:r>
      <w:r>
        <w:rPr>
          <w:color w:val="auto"/>
          <w:lang w:val="en-US"/>
        </w:rPr>
        <w:t xml:space="preserve"> </w:t>
      </w:r>
      <w:r w:rsidRPr="009A5063">
        <w:rPr>
          <w:color w:val="auto"/>
          <w:lang w:val="en-US"/>
        </w:rPr>
        <w:t>and reliability of supply.</w:t>
      </w:r>
    </w:p>
    <w:p w14:paraId="77BB3520" w14:textId="77777777" w:rsidR="009A5063" w:rsidRPr="009A5063" w:rsidRDefault="009A5063" w:rsidP="009A5063">
      <w:pPr>
        <w:pStyle w:val="ListParagraph"/>
        <w:widowControl w:val="0"/>
        <w:numPr>
          <w:ilvl w:val="0"/>
          <w:numId w:val="10"/>
        </w:numPr>
        <w:autoSpaceDE w:val="0"/>
        <w:autoSpaceDN w:val="0"/>
        <w:adjustRightInd w:val="0"/>
        <w:spacing w:after="120"/>
        <w:rPr>
          <w:color w:val="auto"/>
          <w:lang w:val="en-US"/>
        </w:rPr>
      </w:pPr>
      <w:r w:rsidRPr="009A5063">
        <w:rPr>
          <w:i/>
          <w:color w:val="auto"/>
          <w:lang w:val="en-US"/>
        </w:rPr>
        <w:t>Household characteristics</w:t>
      </w:r>
      <w:r w:rsidRPr="009A5063">
        <w:rPr>
          <w:color w:val="auto"/>
          <w:lang w:val="en-US"/>
        </w:rPr>
        <w:t>: income, education, size and composition (i.e. age and gender).</w:t>
      </w:r>
    </w:p>
    <w:p w14:paraId="380AE160" w14:textId="05169B4B" w:rsidR="009A5063" w:rsidRDefault="009A5063" w:rsidP="009A5063">
      <w:r>
        <w:rPr>
          <w:lang w:val="en-US"/>
        </w:rPr>
        <w:t>Other</w:t>
      </w:r>
      <w:r w:rsidRPr="00FC6988">
        <w:rPr>
          <w:lang w:val="en-US"/>
        </w:rPr>
        <w:t xml:space="preserve"> factor</w:t>
      </w:r>
      <w:r>
        <w:rPr>
          <w:lang w:val="en-US"/>
        </w:rPr>
        <w:t>s</w:t>
      </w:r>
      <w:r w:rsidRPr="00FC6988">
        <w:rPr>
          <w:lang w:val="en-US"/>
        </w:rPr>
        <w:t xml:space="preserve"> of possible significance </w:t>
      </w:r>
      <w:r>
        <w:rPr>
          <w:lang w:val="en-US"/>
        </w:rPr>
        <w:t>are</w:t>
      </w:r>
      <w:r w:rsidRPr="00FC6988">
        <w:rPr>
          <w:lang w:val="en-US"/>
        </w:rPr>
        <w:t xml:space="preserve"> the knowledge and attitudes of the consumers</w:t>
      </w:r>
      <w:r w:rsidR="007674B1">
        <w:rPr>
          <w:lang w:val="en-US"/>
        </w:rPr>
        <w:t>, such as their perceptions of the quality of water between improved and unimproved sources,</w:t>
      </w:r>
      <w:r>
        <w:rPr>
          <w:lang w:val="en-US"/>
        </w:rPr>
        <w:t xml:space="preserve"> and </w:t>
      </w:r>
      <w:r w:rsidRPr="00FC6988">
        <w:rPr>
          <w:lang w:val="en-US"/>
        </w:rPr>
        <w:t xml:space="preserve">the degree of ownership </w:t>
      </w:r>
      <w:r>
        <w:rPr>
          <w:lang w:val="en-US"/>
        </w:rPr>
        <w:t>the community</w:t>
      </w:r>
      <w:r w:rsidRPr="00FC6988">
        <w:rPr>
          <w:lang w:val="en-US"/>
        </w:rPr>
        <w:t xml:space="preserve"> hold</w:t>
      </w:r>
      <w:r>
        <w:rPr>
          <w:lang w:val="en-US"/>
        </w:rPr>
        <w:t>s over the new system.</w:t>
      </w:r>
    </w:p>
    <w:p w14:paraId="752D5635" w14:textId="606BD7AD" w:rsidR="00971523" w:rsidRDefault="00971523" w:rsidP="009A6C6E">
      <w:r>
        <w:t xml:space="preserve">Program managers should undertake research on </w:t>
      </w:r>
      <w:r w:rsidR="007674B1">
        <w:t>established</w:t>
      </w:r>
      <w:r>
        <w:t xml:space="preserve"> rates for water tariffs as part of the design phase for a water supply project. In some countries the water tariff may be regulated, whereas in others the market may set the price. It is important to determine </w:t>
      </w:r>
      <w:r w:rsidR="00DC775A">
        <w:t xml:space="preserve">whether the tariff will be acceptable to the beneficiaries and </w:t>
      </w:r>
      <w:r>
        <w:t>whether the tariff will be sufficient to, at minimum, cover operations an</w:t>
      </w:r>
      <w:r w:rsidR="00A62685">
        <w:t xml:space="preserve">d minor maintenance expenditure. Consultation with government water departments and </w:t>
      </w:r>
      <w:r w:rsidR="00A62685">
        <w:lastRenderedPageBreak/>
        <w:t>communities on the water tariff or levy is recommended.</w:t>
      </w:r>
    </w:p>
    <w:p w14:paraId="6A3C5FCC" w14:textId="38E52313" w:rsidR="00A62685" w:rsidRPr="00C21DE2" w:rsidRDefault="00C21DE2" w:rsidP="00C21DE2">
      <w:pPr>
        <w:pStyle w:val="Heading2"/>
        <w:rPr>
          <w:b w:val="0"/>
        </w:rPr>
      </w:pPr>
      <w:bookmarkStart w:id="21" w:name="_Toc420755120"/>
      <w:r w:rsidRPr="00C21DE2">
        <w:rPr>
          <w:b w:val="0"/>
        </w:rPr>
        <w:t>Support from Local Government</w:t>
      </w:r>
      <w:bookmarkEnd w:id="21"/>
    </w:p>
    <w:p w14:paraId="14BA6753" w14:textId="45BD8667" w:rsidR="00522DF7" w:rsidRDefault="00522DF7" w:rsidP="009E6651">
      <w:r>
        <w:t xml:space="preserve">Although a water tariff or levy must be central to any cost-recovery plan, the </w:t>
      </w:r>
      <w:r w:rsidR="00C21DE2">
        <w:t>water tariff alone may not be sufficient to cover the life-cycle costs of a system.</w:t>
      </w:r>
      <w:r w:rsidR="000D7D0F">
        <w:t xml:space="preserve"> </w:t>
      </w:r>
      <w:r>
        <w:t xml:space="preserve">A water tariff must be affordable and compromises on the price may be necessary to maintain willingness to pay. Private operators must also be able to make a small profit in order for a management contract to be attractive. </w:t>
      </w:r>
    </w:p>
    <w:p w14:paraId="669557BF" w14:textId="10459917" w:rsidR="007577FD" w:rsidRDefault="00522DF7" w:rsidP="009E6651">
      <w:r>
        <w:rPr>
          <w:noProof/>
        </w:rPr>
        <w:t>F</w:t>
      </w:r>
      <w:r w:rsidR="000D7D0F" w:rsidRPr="002B14B4">
        <w:rPr>
          <w:noProof/>
        </w:rPr>
        <w:t>inancial subsidies can help</w:t>
      </w:r>
      <w:r w:rsidR="000D7D0F">
        <w:rPr>
          <w:noProof/>
        </w:rPr>
        <w:t xml:space="preserve"> to</w:t>
      </w:r>
      <w:r w:rsidR="000D7D0F" w:rsidRPr="002B14B4">
        <w:rPr>
          <w:noProof/>
        </w:rPr>
        <w:t xml:space="preserve"> ensure that service providers are able to manage complex repairs and fund expensive costs over a system’s lifecycle.</w:t>
      </w:r>
      <w:r w:rsidR="000D7D0F">
        <w:t xml:space="preserve"> </w:t>
      </w:r>
      <w:r>
        <w:t xml:space="preserve">In Rwanda there is a developing trend whereby local governments enter into cost-sharing arrangements with service providers. </w:t>
      </w:r>
      <w:r w:rsidR="00614FB7" w:rsidRPr="002B14B4">
        <w:rPr>
          <w:noProof/>
        </w:rPr>
        <w:t xml:space="preserve">These arrangements </w:t>
      </w:r>
      <w:r w:rsidR="00614FB7">
        <w:rPr>
          <w:noProof/>
        </w:rPr>
        <w:t>subsidise</w:t>
      </w:r>
      <w:r w:rsidR="00614FB7" w:rsidRPr="002B14B4">
        <w:rPr>
          <w:noProof/>
        </w:rPr>
        <w:t xml:space="preserve"> large maintenance and repair costs</w:t>
      </w:r>
      <w:r w:rsidR="00017409">
        <w:rPr>
          <w:noProof/>
        </w:rPr>
        <w:t xml:space="preserve"> </w:t>
      </w:r>
      <w:r w:rsidR="00614FB7" w:rsidRPr="002B14B4">
        <w:rPr>
          <w:noProof/>
        </w:rPr>
        <w:t xml:space="preserve">and </w:t>
      </w:r>
      <w:r w:rsidR="00017409">
        <w:rPr>
          <w:noProof/>
        </w:rPr>
        <w:t>allow</w:t>
      </w:r>
      <w:r w:rsidR="00614FB7">
        <w:rPr>
          <w:noProof/>
        </w:rPr>
        <w:t xml:space="preserve"> service providers to keep water tariffs low while still </w:t>
      </w:r>
      <w:r>
        <w:rPr>
          <w:noProof/>
        </w:rPr>
        <w:t>saving revenue</w:t>
      </w:r>
      <w:r w:rsidR="00614FB7">
        <w:rPr>
          <w:noProof/>
        </w:rPr>
        <w:t xml:space="preserve"> over time. </w:t>
      </w:r>
      <w:r w:rsidR="00C21DE2">
        <w:t xml:space="preserve"> </w:t>
      </w:r>
      <w:r w:rsidR="00017409">
        <w:t>There is evidence to suggest that such arrangements improve the sustainability of rural water supply services in Rwanda.</w:t>
      </w:r>
    </w:p>
    <w:p w14:paraId="0A541B1F" w14:textId="3F2CFDF2" w:rsidR="007577FD" w:rsidRDefault="000E143E" w:rsidP="009E6651">
      <w:r>
        <w:t xml:space="preserve">In summary, program managers should prepare cost-recovery plans that clearly identify the different costs that must be covered and the source of revenue for each cost category. The </w:t>
      </w:r>
      <w:r>
        <w:lastRenderedPageBreak/>
        <w:t xml:space="preserve">use of a tariff or levy should be central to any cost recovery plan and consideration should be given to cost sharing arrangements with local government for system upgrades, extensions and major repairs. </w:t>
      </w:r>
    </w:p>
    <w:p w14:paraId="28840A49" w14:textId="2BD5C425" w:rsidR="009E6651" w:rsidRDefault="009E6651" w:rsidP="009E6651"/>
    <w:p w14:paraId="18B65713" w14:textId="77777777" w:rsidR="00FB681D" w:rsidRDefault="00FB681D" w:rsidP="009E6651">
      <w:pPr>
        <w:sectPr w:rsidR="00FB681D" w:rsidSect="003A4E0A">
          <w:type w:val="continuous"/>
          <w:pgSz w:w="11900" w:h="16840"/>
          <w:pgMar w:top="1440" w:right="1080" w:bottom="1440" w:left="1080" w:header="708" w:footer="708" w:gutter="0"/>
          <w:cols w:num="2" w:space="708"/>
          <w:docGrid w:linePitch="360"/>
        </w:sectPr>
      </w:pPr>
    </w:p>
    <w:p w14:paraId="31F9AFB6" w14:textId="4D37E986" w:rsidR="0020333B" w:rsidRDefault="0020333B" w:rsidP="0020333B">
      <w:pPr>
        <w:pStyle w:val="Heading1"/>
      </w:pPr>
      <w:bookmarkStart w:id="22" w:name="_Toc420755121"/>
      <w:r>
        <w:lastRenderedPageBreak/>
        <w:t>Guidance on Division of Responsibilities</w:t>
      </w:r>
      <w:bookmarkEnd w:id="22"/>
    </w:p>
    <w:p w14:paraId="48D5AC05" w14:textId="77777777" w:rsidR="00975FEF" w:rsidRDefault="00975FEF" w:rsidP="0020333B">
      <w:pPr>
        <w:spacing w:after="200" w:line="276" w:lineRule="auto"/>
        <w:jc w:val="left"/>
        <w:sectPr w:rsidR="00975FEF" w:rsidSect="00C11012">
          <w:pgSz w:w="11900" w:h="16840"/>
          <w:pgMar w:top="1440" w:right="1080" w:bottom="1440" w:left="1080" w:header="708" w:footer="708" w:gutter="0"/>
          <w:cols w:space="708"/>
          <w:docGrid w:linePitch="360"/>
        </w:sectPr>
      </w:pPr>
    </w:p>
    <w:p w14:paraId="2704EA88" w14:textId="2B612503" w:rsidR="0020333B" w:rsidRDefault="0020333B" w:rsidP="0020333B">
      <w:pPr>
        <w:spacing w:after="200" w:line="276" w:lineRule="auto"/>
        <w:jc w:val="left"/>
      </w:pPr>
    </w:p>
    <w:p w14:paraId="5DA700C9" w14:textId="77777777" w:rsidR="00975FEF" w:rsidRDefault="00975FEF" w:rsidP="00C246FC">
      <w:pPr>
        <w:spacing w:after="200" w:line="276" w:lineRule="auto"/>
        <w:sectPr w:rsidR="00975FEF" w:rsidSect="00975FEF">
          <w:type w:val="continuous"/>
          <w:pgSz w:w="11900" w:h="16840"/>
          <w:pgMar w:top="1440" w:right="1080" w:bottom="1440" w:left="1080" w:header="708" w:footer="708" w:gutter="0"/>
          <w:cols w:space="708"/>
          <w:docGrid w:linePitch="360"/>
        </w:sectPr>
      </w:pPr>
    </w:p>
    <w:p w14:paraId="62FC8E36" w14:textId="77777777" w:rsidR="007A5A6D" w:rsidRDefault="00C246FC" w:rsidP="00C246FC">
      <w:pPr>
        <w:spacing w:after="200" w:line="276" w:lineRule="auto"/>
      </w:pPr>
      <w:r>
        <w:lastRenderedPageBreak/>
        <w:t>This guidance note provides a broad range of advice on effec</w:t>
      </w:r>
      <w:r w:rsidR="00975FEF">
        <w:t>tive planning for sustainable</w:t>
      </w:r>
      <w:r>
        <w:t xml:space="preserve"> rural water supply services. In order to assist program managers to prepare for project implementation, the following diagram has been prepared to illustrate what activities need to be </w:t>
      </w:r>
      <w:r w:rsidR="008330B5">
        <w:t>under</w:t>
      </w:r>
      <w:r>
        <w:t xml:space="preserve">taken and the timing for each activity. </w:t>
      </w:r>
    </w:p>
    <w:p w14:paraId="190F5A24" w14:textId="04D7123A" w:rsidR="00975FEF" w:rsidRDefault="00C246FC" w:rsidP="00C246FC">
      <w:pPr>
        <w:spacing w:after="200" w:line="276" w:lineRule="auto"/>
      </w:pPr>
      <w:r>
        <w:t xml:space="preserve">The diagram </w:t>
      </w:r>
      <w:r w:rsidR="00B67DBD">
        <w:t xml:space="preserve">also </w:t>
      </w:r>
      <w:r>
        <w:t xml:space="preserve">seeks to demonstrate an ideal division of labour between a Red Cross Society, as the implementing agency, and the local government, which </w:t>
      </w:r>
      <w:r w:rsidR="008330B5">
        <w:t xml:space="preserve">in this example </w:t>
      </w:r>
      <w:r>
        <w:t>will inherit ownership o</w:t>
      </w:r>
      <w:r w:rsidR="00613853">
        <w:t xml:space="preserve">f the small, piped water system once it has been constructed. </w:t>
      </w:r>
    </w:p>
    <w:p w14:paraId="788A4641" w14:textId="21886B8B" w:rsidR="007A5A6D" w:rsidRDefault="007A5A6D" w:rsidP="00C246FC">
      <w:pPr>
        <w:spacing w:after="200" w:line="276" w:lineRule="auto"/>
      </w:pPr>
      <w:r>
        <w:t xml:space="preserve">This distinction is significant. It is common practice for system ownership and service management to be passed on to another organisation once a system has been constructed by a Red Cross Society. Ownership and management can be handled by one organisation, such as a community management committee, however ownership and management responsibilities can also be split between, for example, local government, as the owner of a public asset, and a community committee, as the agency responsible for managing the service on behalf of the government. </w:t>
      </w:r>
    </w:p>
    <w:p w14:paraId="30BD75D8" w14:textId="5887E32B" w:rsidR="007A5A6D" w:rsidRDefault="007A5A6D" w:rsidP="00C246FC">
      <w:pPr>
        <w:spacing w:after="200" w:line="276" w:lineRule="auto"/>
      </w:pPr>
      <w:r>
        <w:t>The consequence is that sustainability can be influenced by multiple agencies and is not solely controlled or influenced by the actions of a Red Cross Society. Program managers should therefore be thinking ahead about how certain decisions, such as service monitoring and the choice of the service provider model, can be influenced.</w:t>
      </w:r>
    </w:p>
    <w:p w14:paraId="25F50EF0" w14:textId="2F1A6FFE" w:rsidR="00395CBF" w:rsidRDefault="00975FEF" w:rsidP="00C246FC">
      <w:pPr>
        <w:spacing w:after="200" w:line="276" w:lineRule="auto"/>
      </w:pPr>
      <w:r w:rsidRPr="00975FEF">
        <w:t xml:space="preserve">The diagram has </w:t>
      </w:r>
      <w:r w:rsidR="00501246">
        <w:t>been split</w:t>
      </w:r>
      <w:r w:rsidR="00574DA5">
        <w:t xml:space="preserve"> into three phases, being </w:t>
      </w:r>
      <w:r w:rsidR="00574DA5" w:rsidRPr="00574DA5">
        <w:rPr>
          <w:color w:val="C00000" w:themeColor="accent6"/>
        </w:rPr>
        <w:t>Pre-Construction</w:t>
      </w:r>
      <w:r w:rsidR="00574DA5" w:rsidRPr="00574DA5">
        <w:t xml:space="preserve">, </w:t>
      </w:r>
      <w:r w:rsidR="00574DA5" w:rsidRPr="00574DA5">
        <w:rPr>
          <w:color w:val="C00000" w:themeColor="accent6"/>
        </w:rPr>
        <w:t xml:space="preserve">Construction </w:t>
      </w:r>
      <w:r w:rsidR="00574DA5" w:rsidRPr="00574DA5">
        <w:t xml:space="preserve">and </w:t>
      </w:r>
      <w:r w:rsidR="00574DA5" w:rsidRPr="00574DA5">
        <w:rPr>
          <w:color w:val="C00000" w:themeColor="accent6"/>
        </w:rPr>
        <w:t>Post-Construction</w:t>
      </w:r>
      <w:r w:rsidR="00574DA5" w:rsidRPr="00574DA5">
        <w:t xml:space="preserve">. </w:t>
      </w:r>
    </w:p>
    <w:p w14:paraId="6FB468E8" w14:textId="68694DDC" w:rsidR="002E26A6" w:rsidRDefault="002E26A6" w:rsidP="002E26A6">
      <w:pPr>
        <w:pStyle w:val="Heading2"/>
      </w:pPr>
      <w:bookmarkStart w:id="23" w:name="_Toc420755122"/>
      <w:r>
        <w:lastRenderedPageBreak/>
        <w:t>Pre-Construction</w:t>
      </w:r>
      <w:bookmarkEnd w:id="23"/>
    </w:p>
    <w:p w14:paraId="3462B022" w14:textId="0B6B1E69" w:rsidR="00395CBF" w:rsidRDefault="00395CBF" w:rsidP="00C246FC">
      <w:pPr>
        <w:spacing w:after="200" w:line="276" w:lineRule="auto"/>
      </w:pPr>
      <w:r>
        <w:t xml:space="preserve">During the pre-construction phase, or the design phase, program managers will primarily be concerned with technical design considerations for the service. However, program managers should also be assessing the enabling environment, preparing plans for cost recovery as well as reviewing disaster risk reduction </w:t>
      </w:r>
      <w:r w:rsidR="00671713">
        <w:t xml:space="preserve">(DRR) </w:t>
      </w:r>
      <w:r>
        <w:t xml:space="preserve">strategies and related safeguards.  </w:t>
      </w:r>
    </w:p>
    <w:p w14:paraId="31110683" w14:textId="14756038" w:rsidR="00395CBF" w:rsidRDefault="00395CBF" w:rsidP="00C246FC">
      <w:pPr>
        <w:spacing w:after="200" w:line="276" w:lineRule="auto"/>
      </w:pPr>
      <w:r>
        <w:t xml:space="preserve">A close working relationship </w:t>
      </w:r>
      <w:r w:rsidR="003A405B">
        <w:t xml:space="preserve">with local government </w:t>
      </w:r>
      <w:r>
        <w:t xml:space="preserve">should be established during this phase to help ensure that issues such as the period over which the service should be able to service demand, the potential for cost-sharing </w:t>
      </w:r>
      <w:r w:rsidR="00A46379">
        <w:t>arrangements</w:t>
      </w:r>
      <w:r w:rsidR="002E26A6">
        <w:t>, the price of the water tariff</w:t>
      </w:r>
      <w:r w:rsidR="00A46379">
        <w:t xml:space="preserve"> </w:t>
      </w:r>
      <w:r>
        <w:t xml:space="preserve">and the possible choices for the service provider model </w:t>
      </w:r>
      <w:r w:rsidR="00A46379">
        <w:t>are</w:t>
      </w:r>
      <w:r>
        <w:t xml:space="preserve"> discussed. These preparations will allow the Red Cross Society to prepare a Memorandum of Understanding that clearly articulates responsibilities regarding system design, construction and service management.</w:t>
      </w:r>
    </w:p>
    <w:p w14:paraId="0B9E353C" w14:textId="66D0841E" w:rsidR="002E26A6" w:rsidRDefault="002E26A6" w:rsidP="002E26A6">
      <w:pPr>
        <w:pStyle w:val="Heading2"/>
      </w:pPr>
      <w:bookmarkStart w:id="24" w:name="_Toc420755123"/>
      <w:r>
        <w:t>Construction</w:t>
      </w:r>
      <w:bookmarkEnd w:id="24"/>
    </w:p>
    <w:p w14:paraId="489ACD22" w14:textId="0B26A2C9" w:rsidR="00975FEF" w:rsidRDefault="00864A8A" w:rsidP="00C246FC">
      <w:pPr>
        <w:spacing w:after="200" w:line="276" w:lineRule="auto"/>
      </w:pPr>
      <w:r>
        <w:t xml:space="preserve">The construction phase is primarily concerned with budget management and </w:t>
      </w:r>
      <w:r w:rsidR="002E26A6">
        <w:t xml:space="preserve">supervision of </w:t>
      </w:r>
      <w:r>
        <w:t xml:space="preserve">construction quality. </w:t>
      </w:r>
      <w:r w:rsidR="002E26A6">
        <w:t xml:space="preserve">Program managers should maintain community consultations during this time to avoid disputes over the locations of water points and pipelines and to ensure that any barriers to access for people living with disabilities are addressed. </w:t>
      </w:r>
    </w:p>
    <w:p w14:paraId="566ADF10" w14:textId="45488D8C" w:rsidR="00671713" w:rsidRDefault="00671713" w:rsidP="00C246FC">
      <w:pPr>
        <w:spacing w:after="200" w:line="276" w:lineRule="auto"/>
      </w:pPr>
      <w:r>
        <w:t>Following construction, and before handover, program managers should prepare a water safety plan in cooperation with the local government. This plan could incorporate elements of DRR, where relevant.</w:t>
      </w:r>
    </w:p>
    <w:p w14:paraId="4EBE24E3" w14:textId="6F99F779" w:rsidR="00F5532B" w:rsidRPr="00574DA5" w:rsidRDefault="00F5532B" w:rsidP="00F5532B">
      <w:pPr>
        <w:pStyle w:val="Heading2"/>
      </w:pPr>
      <w:bookmarkStart w:id="25" w:name="_Toc420755124"/>
      <w:r>
        <w:lastRenderedPageBreak/>
        <w:t>Post-Construction</w:t>
      </w:r>
      <w:bookmarkEnd w:id="25"/>
    </w:p>
    <w:p w14:paraId="79D9CB52" w14:textId="4342D85F" w:rsidR="009900F3" w:rsidRDefault="00F5532B" w:rsidP="00613853">
      <w:pPr>
        <w:spacing w:after="200" w:line="276" w:lineRule="auto"/>
      </w:pPr>
      <w:r>
        <w:t xml:space="preserve">At this stage ownership and management of the water supply service is handed over to the local government. Many of the tasks for this phase are critical to sustainability and </w:t>
      </w:r>
      <w:r w:rsidR="009900F3">
        <w:t>Red Cross Societies</w:t>
      </w:r>
      <w:r>
        <w:t xml:space="preserve"> </w:t>
      </w:r>
      <w:r w:rsidR="009900F3">
        <w:t>should</w:t>
      </w:r>
      <w:r>
        <w:t xml:space="preserve"> ensure that </w:t>
      </w:r>
      <w:r w:rsidR="009900F3">
        <w:t xml:space="preserve">advice and information is available to assist local government with its decision making. Ideally, the Red Cross Society has established an effective working relationship with the local government and is consulted on many, if not all, of these issues. As aforementioned, the use of an MOU and efforts to build a constructive working relationship with local government during the pre-construction phase will bear fruit here. </w:t>
      </w:r>
    </w:p>
    <w:p w14:paraId="5D2F4882" w14:textId="64A40053" w:rsidR="00CE17B3" w:rsidRDefault="00CE17B3" w:rsidP="00613853">
      <w:pPr>
        <w:spacing w:after="200" w:line="276" w:lineRule="auto"/>
      </w:pPr>
      <w:r>
        <w:t>The following diagram is just a guide for program managers, however it does demonstrate that there is a significant workload during the pre-construction phase. Program managers should bear this in mind and ensure that timeframes and budgets are realistic.</w:t>
      </w:r>
    </w:p>
    <w:p w14:paraId="026B957C" w14:textId="77777777" w:rsidR="009900F3" w:rsidRPr="00613853" w:rsidRDefault="009900F3" w:rsidP="00613853">
      <w:pPr>
        <w:spacing w:after="200" w:line="276" w:lineRule="auto"/>
      </w:pPr>
    </w:p>
    <w:p w14:paraId="050D1E60" w14:textId="77777777" w:rsidR="00C246FC" w:rsidRDefault="00C246FC" w:rsidP="0020333B">
      <w:pPr>
        <w:spacing w:after="200" w:line="276" w:lineRule="auto"/>
        <w:jc w:val="left"/>
      </w:pPr>
    </w:p>
    <w:p w14:paraId="334E7D87" w14:textId="77777777" w:rsidR="008C3C9C" w:rsidRDefault="008C3C9C" w:rsidP="0020333B">
      <w:pPr>
        <w:spacing w:after="200" w:line="276" w:lineRule="auto"/>
        <w:jc w:val="left"/>
      </w:pPr>
    </w:p>
    <w:p w14:paraId="31031BB4" w14:textId="77777777" w:rsidR="00975FEF" w:rsidRDefault="00975FEF" w:rsidP="006709AC"/>
    <w:p w14:paraId="02AD498C" w14:textId="77777777" w:rsidR="00CE17B3" w:rsidRDefault="00CE17B3" w:rsidP="006709AC"/>
    <w:p w14:paraId="4CEB27B9" w14:textId="77777777" w:rsidR="00CE17B3" w:rsidRDefault="00CE17B3" w:rsidP="006709AC"/>
    <w:p w14:paraId="745FAFF6" w14:textId="77777777" w:rsidR="00CE17B3" w:rsidRDefault="00CE17B3" w:rsidP="006709AC"/>
    <w:p w14:paraId="15EE535A" w14:textId="77777777" w:rsidR="00CE17B3" w:rsidRDefault="00CE17B3" w:rsidP="006709AC"/>
    <w:p w14:paraId="58AE055E" w14:textId="77777777" w:rsidR="00975FEF" w:rsidRDefault="00975FEF" w:rsidP="006709AC"/>
    <w:p w14:paraId="2710D0E0" w14:textId="77777777" w:rsidR="00975FEF" w:rsidRDefault="00975FEF" w:rsidP="006709AC"/>
    <w:p w14:paraId="4B29E02A" w14:textId="77777777" w:rsidR="00975FEF" w:rsidRDefault="00975FEF" w:rsidP="006709AC"/>
    <w:p w14:paraId="20898D57" w14:textId="77777777" w:rsidR="00975FEF" w:rsidRDefault="00975FEF" w:rsidP="006709AC"/>
    <w:p w14:paraId="58001387" w14:textId="77777777" w:rsidR="00975FEF" w:rsidRDefault="00975FEF" w:rsidP="006709AC"/>
    <w:p w14:paraId="15FA027B" w14:textId="77777777" w:rsidR="00975FEF" w:rsidRDefault="00975FEF" w:rsidP="006709AC">
      <w:pPr>
        <w:sectPr w:rsidR="00975FEF" w:rsidSect="00975FEF">
          <w:type w:val="continuous"/>
          <w:pgSz w:w="11900" w:h="16840"/>
          <w:pgMar w:top="1440" w:right="1080" w:bottom="1440" w:left="1080" w:header="708" w:footer="708" w:gutter="0"/>
          <w:cols w:num="2" w:space="708"/>
          <w:docGrid w:linePitch="360"/>
        </w:sectPr>
      </w:pPr>
    </w:p>
    <w:p w14:paraId="15DB5281" w14:textId="6AD60ECF" w:rsidR="008C3C9C" w:rsidRDefault="008C3C9C" w:rsidP="006709AC"/>
    <w:p w14:paraId="4835240B" w14:textId="77777777" w:rsidR="00975FEF" w:rsidRPr="006709AC" w:rsidRDefault="00975FEF" w:rsidP="006709AC">
      <w:pPr>
        <w:sectPr w:rsidR="00975FEF" w:rsidRPr="006709AC" w:rsidSect="00975FEF">
          <w:type w:val="continuous"/>
          <w:pgSz w:w="11900" w:h="16840"/>
          <w:pgMar w:top="1440" w:right="1080" w:bottom="1440" w:left="1080" w:header="708" w:footer="708" w:gutter="0"/>
          <w:cols w:space="708"/>
          <w:docGrid w:linePitch="360"/>
        </w:sectPr>
      </w:pPr>
    </w:p>
    <w:tbl>
      <w:tblPr>
        <w:tblStyle w:val="TableGrid"/>
        <w:tblW w:w="9361" w:type="dxa"/>
        <w:jc w:val="center"/>
        <w:tblLook w:val="04A0" w:firstRow="1" w:lastRow="0" w:firstColumn="1" w:lastColumn="0" w:noHBand="0" w:noVBand="1"/>
      </w:tblPr>
      <w:tblGrid>
        <w:gridCol w:w="5009"/>
        <w:gridCol w:w="2119"/>
        <w:gridCol w:w="2233"/>
      </w:tblGrid>
      <w:tr w:rsidR="0020333B" w14:paraId="6217C259"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tcPr>
          <w:p w14:paraId="6CE69680" w14:textId="77777777" w:rsidR="0020333B" w:rsidRDefault="0020333B">
            <w:pPr>
              <w:spacing w:before="60" w:after="60"/>
            </w:pPr>
          </w:p>
        </w:tc>
        <w:tc>
          <w:tcPr>
            <w:tcW w:w="4575" w:type="dxa"/>
            <w:gridSpan w:val="2"/>
            <w:tcBorders>
              <w:top w:val="single" w:sz="4" w:space="0" w:color="auto"/>
              <w:left w:val="single" w:sz="4" w:space="0" w:color="auto"/>
              <w:bottom w:val="single" w:sz="4" w:space="0" w:color="auto"/>
              <w:right w:val="single" w:sz="4" w:space="0" w:color="auto"/>
            </w:tcBorders>
            <w:hideMark/>
          </w:tcPr>
          <w:p w14:paraId="65289CE4" w14:textId="77777777" w:rsidR="0020333B" w:rsidRDefault="0020333B">
            <w:pPr>
              <w:spacing w:before="60" w:after="60"/>
              <w:jc w:val="center"/>
              <w:rPr>
                <w:b/>
              </w:rPr>
            </w:pPr>
            <w:r>
              <w:rPr>
                <w:b/>
              </w:rPr>
              <w:t>LEAD</w:t>
            </w:r>
          </w:p>
        </w:tc>
      </w:tr>
      <w:tr w:rsidR="0020333B" w14:paraId="4CE6E263"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4487C346" w14:textId="77777777" w:rsidR="0020333B" w:rsidRDefault="0020333B">
            <w:pPr>
              <w:spacing w:before="60" w:after="60"/>
              <w:rPr>
                <w:b/>
              </w:rPr>
            </w:pPr>
            <w:r>
              <w:rPr>
                <w:b/>
              </w:rPr>
              <w:t>PHASES AND TASKS</w:t>
            </w:r>
          </w:p>
        </w:tc>
        <w:tc>
          <w:tcPr>
            <w:tcW w:w="2268" w:type="dxa"/>
            <w:tcBorders>
              <w:top w:val="single" w:sz="4" w:space="0" w:color="auto"/>
              <w:left w:val="single" w:sz="4" w:space="0" w:color="auto"/>
              <w:bottom w:val="single" w:sz="4" w:space="0" w:color="auto"/>
              <w:right w:val="single" w:sz="4" w:space="0" w:color="auto"/>
            </w:tcBorders>
            <w:hideMark/>
          </w:tcPr>
          <w:p w14:paraId="275B2055" w14:textId="77777777" w:rsidR="0020333B" w:rsidRDefault="0020333B">
            <w:pPr>
              <w:spacing w:before="60" w:after="60"/>
              <w:rPr>
                <w:b/>
              </w:rPr>
            </w:pPr>
            <w:r>
              <w:rPr>
                <w:b/>
              </w:rPr>
              <w:t>Red Cross</w:t>
            </w:r>
          </w:p>
        </w:tc>
        <w:tc>
          <w:tcPr>
            <w:tcW w:w="2307" w:type="dxa"/>
            <w:tcBorders>
              <w:top w:val="single" w:sz="4" w:space="0" w:color="auto"/>
              <w:left w:val="single" w:sz="4" w:space="0" w:color="auto"/>
              <w:bottom w:val="single" w:sz="4" w:space="0" w:color="auto"/>
              <w:right w:val="single" w:sz="4" w:space="0" w:color="auto"/>
            </w:tcBorders>
            <w:hideMark/>
          </w:tcPr>
          <w:p w14:paraId="6DF436CA" w14:textId="77777777" w:rsidR="0020333B" w:rsidRDefault="0020333B">
            <w:pPr>
              <w:spacing w:before="60" w:after="60"/>
              <w:rPr>
                <w:b/>
              </w:rPr>
            </w:pPr>
            <w:r>
              <w:rPr>
                <w:b/>
              </w:rPr>
              <w:t>Local Government</w:t>
            </w:r>
          </w:p>
        </w:tc>
      </w:tr>
      <w:tr w:rsidR="0020333B" w14:paraId="35645075"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7C54F" w14:textId="77777777" w:rsidR="0020333B" w:rsidRDefault="0020333B" w:rsidP="004B5DB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
              </w:rPr>
            </w:pPr>
            <w:r>
              <w:rPr>
                <w:i/>
              </w:rPr>
              <w:t>Pre-Construction</w:t>
            </w:r>
          </w:p>
        </w:tc>
        <w:tc>
          <w:tcPr>
            <w:tcW w:w="2268" w:type="dxa"/>
            <w:vMerge w:val="restart"/>
            <w:tcBorders>
              <w:top w:val="single" w:sz="4" w:space="0" w:color="auto"/>
              <w:left w:val="single" w:sz="4" w:space="0" w:color="auto"/>
              <w:bottom w:val="nil"/>
              <w:right w:val="single" w:sz="4" w:space="0" w:color="auto"/>
            </w:tcBorders>
            <w:shd w:val="clear" w:color="auto" w:fill="BFBFBF" w:themeFill="background1" w:themeFillShade="BF"/>
            <w:hideMark/>
          </w:tcPr>
          <w:p w14:paraId="03A93D45" w14:textId="1A9BCFDF" w:rsidR="0020333B" w:rsidRDefault="0020333B" w:rsidP="004B5DBA">
            <w:pPr>
              <w:pBdr>
                <w:top w:val="none" w:sz="0" w:space="0" w:color="auto"/>
                <w:left w:val="none" w:sz="0" w:space="0" w:color="auto"/>
                <w:bottom w:val="none" w:sz="0" w:space="0" w:color="auto"/>
                <w:right w:val="none" w:sz="0" w:space="0" w:color="auto"/>
                <w:between w:val="none" w:sz="0" w:space="0" w:color="auto"/>
                <w:bar w:val="none" w:sz="0" w:color="auto"/>
              </w:pBdr>
            </w:pPr>
            <w:r>
              <w:rPr>
                <w:noProof/>
                <w:lang w:val="en-GB" w:eastAsia="en-GB"/>
              </w:rPr>
              <mc:AlternateContent>
                <mc:Choice Requires="wps">
                  <w:drawing>
                    <wp:anchor distT="0" distB="0" distL="114300" distR="114300" simplePos="0" relativeHeight="251657216" behindDoc="0" locked="0" layoutInCell="1" allowOverlap="1" wp14:anchorId="53FA073B" wp14:editId="76FC64A6">
                      <wp:simplePos x="0" y="0"/>
                      <wp:positionH relativeFrom="column">
                        <wp:posOffset>516890</wp:posOffset>
                      </wp:positionH>
                      <wp:positionV relativeFrom="paragraph">
                        <wp:posOffset>271145</wp:posOffset>
                      </wp:positionV>
                      <wp:extent cx="0" cy="6057900"/>
                      <wp:effectExtent l="95250" t="0" r="57150" b="57150"/>
                      <wp:wrapNone/>
                      <wp:docPr id="6" name="Straight Connector 6"/>
                      <wp:cNvGraphicFramePr/>
                      <a:graphic xmlns:a="http://schemas.openxmlformats.org/drawingml/2006/main">
                        <a:graphicData uri="http://schemas.microsoft.com/office/word/2010/wordprocessingShape">
                          <wps:wsp>
                            <wps:cNvCnPr/>
                            <wps:spPr>
                              <a:xfrm>
                                <a:off x="0" y="0"/>
                                <a:ext cx="0" cy="6057900"/>
                              </a:xfrm>
                              <a:prstGeom prst="line">
                                <a:avLst/>
                              </a:prstGeom>
                              <a:ln>
                                <a:tailEnd type="triangle" w="lg"/>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21.35pt" to="40.7pt,4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" strokecolor="black [3200]" strokeweight="2pt">
                      <v:stroke endarrow="block" endarrowwidth="wide" linestyle="thinThin"/>
                    </v:line>
                  </w:pict>
                </mc:Fallback>
              </mc:AlternateContent>
            </w:r>
          </w:p>
        </w:tc>
        <w:tc>
          <w:tcPr>
            <w:tcW w:w="2268" w:type="dxa"/>
            <w:vMerge w:val="restart"/>
            <w:tcBorders>
              <w:top w:val="single" w:sz="4" w:space="0" w:color="auto"/>
              <w:left w:val="single" w:sz="4" w:space="0" w:color="auto"/>
              <w:bottom w:val="single" w:sz="4" w:space="0" w:color="auto"/>
              <w:right w:val="single" w:sz="4" w:space="0" w:color="auto"/>
            </w:tcBorders>
          </w:tcPr>
          <w:p w14:paraId="0EA0442E" w14:textId="77777777" w:rsidR="0020333B" w:rsidRDefault="0020333B"/>
        </w:tc>
      </w:tr>
      <w:tr w:rsidR="0020333B" w14:paraId="29ADC5EB"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646F77BC" w14:textId="77777777" w:rsidR="0020333B" w:rsidRDefault="0020333B">
            <w:pPr>
              <w:spacing w:before="60" w:after="60"/>
              <w:ind w:left="181" w:hanging="142"/>
              <w:rPr>
                <w:sz w:val="22"/>
                <w:szCs w:val="22"/>
              </w:rPr>
            </w:pPr>
            <w:r>
              <w:rPr>
                <w:sz w:val="22"/>
                <w:szCs w:val="22"/>
              </w:rPr>
              <w:t>- Establish demand through consultation with community and local government</w:t>
            </w:r>
          </w:p>
        </w:tc>
        <w:tc>
          <w:tcPr>
            <w:tcW w:w="0" w:type="auto"/>
            <w:vMerge/>
            <w:tcBorders>
              <w:top w:val="nil"/>
              <w:left w:val="single" w:sz="4" w:space="0" w:color="auto"/>
              <w:bottom w:val="nil"/>
              <w:right w:val="single" w:sz="4" w:space="0" w:color="auto"/>
            </w:tcBorders>
            <w:vAlign w:val="center"/>
            <w:hideMark/>
          </w:tcPr>
          <w:p w14:paraId="23516255"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61419" w14:textId="77777777" w:rsidR="0020333B" w:rsidRDefault="0020333B"/>
        </w:tc>
      </w:tr>
      <w:tr w:rsidR="0020333B" w14:paraId="5BC65916"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0A8EA31D" w14:textId="77777777" w:rsidR="0020333B" w:rsidRDefault="0020333B">
            <w:pPr>
              <w:spacing w:before="60" w:after="60"/>
              <w:ind w:left="181" w:hanging="142"/>
              <w:rPr>
                <w:sz w:val="22"/>
                <w:szCs w:val="22"/>
              </w:rPr>
            </w:pPr>
            <w:r>
              <w:rPr>
                <w:sz w:val="22"/>
                <w:szCs w:val="22"/>
              </w:rPr>
              <w:t>- Confirm that rural water supply is a planning priority for local government, which is matched with a budget allocation, and assess capacity to provide technical support</w:t>
            </w:r>
          </w:p>
        </w:tc>
        <w:tc>
          <w:tcPr>
            <w:tcW w:w="0" w:type="auto"/>
            <w:vMerge/>
            <w:tcBorders>
              <w:top w:val="nil"/>
              <w:left w:val="single" w:sz="4" w:space="0" w:color="auto"/>
              <w:bottom w:val="nil"/>
              <w:right w:val="single" w:sz="4" w:space="0" w:color="auto"/>
            </w:tcBorders>
            <w:vAlign w:val="center"/>
            <w:hideMark/>
          </w:tcPr>
          <w:p w14:paraId="1D1441BD"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ABDF6" w14:textId="77777777" w:rsidR="0020333B" w:rsidRDefault="0020333B"/>
        </w:tc>
      </w:tr>
      <w:tr w:rsidR="0020333B" w14:paraId="016E40EB"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63548F36" w14:textId="77777777" w:rsidR="0020333B" w:rsidRDefault="0020333B">
            <w:pPr>
              <w:spacing w:before="60" w:after="60"/>
              <w:ind w:left="181" w:hanging="142"/>
              <w:rPr>
                <w:sz w:val="22"/>
                <w:szCs w:val="22"/>
              </w:rPr>
            </w:pPr>
            <w:r>
              <w:rPr>
                <w:sz w:val="22"/>
                <w:szCs w:val="22"/>
              </w:rPr>
              <w:t>- Survey community to identify any people living with a disability and other vulnerable groups, and prepare advice on access and infrastructure needs</w:t>
            </w:r>
          </w:p>
        </w:tc>
        <w:tc>
          <w:tcPr>
            <w:tcW w:w="0" w:type="auto"/>
            <w:vMerge/>
            <w:tcBorders>
              <w:top w:val="nil"/>
              <w:left w:val="single" w:sz="4" w:space="0" w:color="auto"/>
              <w:bottom w:val="nil"/>
              <w:right w:val="single" w:sz="4" w:space="0" w:color="auto"/>
            </w:tcBorders>
            <w:vAlign w:val="center"/>
            <w:hideMark/>
          </w:tcPr>
          <w:p w14:paraId="3E06EBE0"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3C160" w14:textId="77777777" w:rsidR="0020333B" w:rsidRDefault="0020333B"/>
        </w:tc>
      </w:tr>
      <w:tr w:rsidR="0020333B" w14:paraId="5BA8630C"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7DBD1DF5" w14:textId="77777777" w:rsidR="0020333B" w:rsidRDefault="0020333B">
            <w:pPr>
              <w:spacing w:before="60" w:after="60"/>
              <w:ind w:left="181" w:hanging="142"/>
              <w:rPr>
                <w:sz w:val="22"/>
                <w:szCs w:val="22"/>
              </w:rPr>
            </w:pPr>
            <w:r>
              <w:rPr>
                <w:sz w:val="22"/>
                <w:szCs w:val="22"/>
              </w:rPr>
              <w:t>- Survey terrain for water system in cooperation with local government</w:t>
            </w:r>
          </w:p>
        </w:tc>
        <w:tc>
          <w:tcPr>
            <w:tcW w:w="0" w:type="auto"/>
            <w:vMerge/>
            <w:tcBorders>
              <w:top w:val="nil"/>
              <w:left w:val="single" w:sz="4" w:space="0" w:color="auto"/>
              <w:bottom w:val="nil"/>
              <w:right w:val="single" w:sz="4" w:space="0" w:color="auto"/>
            </w:tcBorders>
            <w:vAlign w:val="center"/>
            <w:hideMark/>
          </w:tcPr>
          <w:p w14:paraId="5B332EBF"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54C99" w14:textId="77777777" w:rsidR="0020333B" w:rsidRDefault="0020333B"/>
        </w:tc>
      </w:tr>
      <w:tr w:rsidR="0020333B" w14:paraId="5729B906"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65EC988D" w14:textId="77777777" w:rsidR="0020333B" w:rsidRDefault="0020333B">
            <w:pPr>
              <w:spacing w:before="60" w:after="60"/>
              <w:ind w:left="181" w:hanging="142"/>
              <w:rPr>
                <w:sz w:val="22"/>
                <w:szCs w:val="22"/>
              </w:rPr>
            </w:pPr>
            <w:r>
              <w:rPr>
                <w:sz w:val="22"/>
                <w:szCs w:val="22"/>
              </w:rPr>
              <w:t>- Determine method for conveying water through the system</w:t>
            </w:r>
          </w:p>
        </w:tc>
        <w:tc>
          <w:tcPr>
            <w:tcW w:w="0" w:type="auto"/>
            <w:vMerge/>
            <w:tcBorders>
              <w:top w:val="nil"/>
              <w:left w:val="single" w:sz="4" w:space="0" w:color="auto"/>
              <w:bottom w:val="nil"/>
              <w:right w:val="single" w:sz="4" w:space="0" w:color="auto"/>
            </w:tcBorders>
            <w:vAlign w:val="center"/>
            <w:hideMark/>
          </w:tcPr>
          <w:p w14:paraId="40A54738"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9FBB3" w14:textId="77777777" w:rsidR="0020333B" w:rsidRDefault="0020333B"/>
        </w:tc>
      </w:tr>
      <w:tr w:rsidR="0020333B" w14:paraId="518FEE5B"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76AC0174" w14:textId="77777777" w:rsidR="0020333B" w:rsidRDefault="0020333B">
            <w:pPr>
              <w:spacing w:before="60" w:after="60"/>
              <w:ind w:left="181" w:hanging="142"/>
              <w:rPr>
                <w:sz w:val="22"/>
                <w:szCs w:val="22"/>
              </w:rPr>
            </w:pPr>
            <w:r>
              <w:rPr>
                <w:sz w:val="22"/>
                <w:szCs w:val="22"/>
              </w:rPr>
              <w:t>- Confirm the design life of the system</w:t>
            </w:r>
          </w:p>
        </w:tc>
        <w:tc>
          <w:tcPr>
            <w:tcW w:w="0" w:type="auto"/>
            <w:vMerge/>
            <w:tcBorders>
              <w:top w:val="nil"/>
              <w:left w:val="single" w:sz="4" w:space="0" w:color="auto"/>
              <w:bottom w:val="nil"/>
              <w:right w:val="single" w:sz="4" w:space="0" w:color="auto"/>
            </w:tcBorders>
            <w:vAlign w:val="center"/>
            <w:hideMark/>
          </w:tcPr>
          <w:p w14:paraId="3FC0BD05"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048A6" w14:textId="77777777" w:rsidR="0020333B" w:rsidRDefault="0020333B"/>
        </w:tc>
      </w:tr>
      <w:tr w:rsidR="0020333B" w14:paraId="2251F30E"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19B80209" w14:textId="77777777" w:rsidR="0020333B" w:rsidRDefault="0020333B">
            <w:pPr>
              <w:spacing w:before="60" w:after="60"/>
              <w:ind w:left="181" w:hanging="142"/>
              <w:rPr>
                <w:sz w:val="22"/>
                <w:szCs w:val="22"/>
              </w:rPr>
            </w:pPr>
            <w:r>
              <w:rPr>
                <w:sz w:val="22"/>
                <w:szCs w:val="22"/>
              </w:rPr>
              <w:t>- Design a model that can predict the O&amp;M costs, desired revenue and likely water tariff for the system</w:t>
            </w:r>
          </w:p>
        </w:tc>
        <w:tc>
          <w:tcPr>
            <w:tcW w:w="0" w:type="auto"/>
            <w:vMerge/>
            <w:tcBorders>
              <w:top w:val="nil"/>
              <w:left w:val="single" w:sz="4" w:space="0" w:color="auto"/>
              <w:bottom w:val="nil"/>
              <w:right w:val="single" w:sz="4" w:space="0" w:color="auto"/>
            </w:tcBorders>
            <w:vAlign w:val="center"/>
            <w:hideMark/>
          </w:tcPr>
          <w:p w14:paraId="4332D91A"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F9F60" w14:textId="77777777" w:rsidR="0020333B" w:rsidRDefault="0020333B"/>
        </w:tc>
      </w:tr>
      <w:tr w:rsidR="0020333B" w14:paraId="3D5A86BE"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3CE61702" w14:textId="77777777" w:rsidR="0020333B" w:rsidRDefault="0020333B">
            <w:pPr>
              <w:spacing w:before="60" w:after="60"/>
              <w:ind w:left="181" w:hanging="142"/>
              <w:rPr>
                <w:sz w:val="22"/>
                <w:szCs w:val="22"/>
              </w:rPr>
            </w:pPr>
            <w:r>
              <w:rPr>
                <w:sz w:val="22"/>
                <w:szCs w:val="22"/>
              </w:rPr>
              <w:t>- Conduct a Disaster Risk Reduction assessment in cooperation with local government</w:t>
            </w:r>
          </w:p>
        </w:tc>
        <w:tc>
          <w:tcPr>
            <w:tcW w:w="0" w:type="auto"/>
            <w:vMerge/>
            <w:tcBorders>
              <w:top w:val="nil"/>
              <w:left w:val="single" w:sz="4" w:space="0" w:color="auto"/>
              <w:bottom w:val="nil"/>
              <w:right w:val="single" w:sz="4" w:space="0" w:color="auto"/>
            </w:tcBorders>
            <w:vAlign w:val="center"/>
            <w:hideMark/>
          </w:tcPr>
          <w:p w14:paraId="620D8709"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23FE8" w14:textId="77777777" w:rsidR="0020333B" w:rsidRDefault="0020333B"/>
        </w:tc>
      </w:tr>
      <w:tr w:rsidR="0020333B" w14:paraId="2DAA4AAF"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54EFEA3C" w14:textId="77777777" w:rsidR="0020333B" w:rsidRDefault="0020333B">
            <w:pPr>
              <w:spacing w:before="60" w:after="60"/>
              <w:ind w:left="181" w:hanging="142"/>
              <w:rPr>
                <w:sz w:val="22"/>
                <w:szCs w:val="22"/>
              </w:rPr>
            </w:pPr>
            <w:r>
              <w:rPr>
                <w:sz w:val="22"/>
                <w:szCs w:val="22"/>
              </w:rPr>
              <w:t>- Assess the availability of spare parts in local markets to support O&amp;M</w:t>
            </w:r>
          </w:p>
        </w:tc>
        <w:tc>
          <w:tcPr>
            <w:tcW w:w="0" w:type="auto"/>
            <w:vMerge/>
            <w:tcBorders>
              <w:top w:val="nil"/>
              <w:left w:val="single" w:sz="4" w:space="0" w:color="auto"/>
              <w:bottom w:val="nil"/>
              <w:right w:val="single" w:sz="4" w:space="0" w:color="auto"/>
            </w:tcBorders>
            <w:vAlign w:val="center"/>
            <w:hideMark/>
          </w:tcPr>
          <w:p w14:paraId="12F9D704"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A786A" w14:textId="77777777" w:rsidR="0020333B" w:rsidRDefault="0020333B"/>
        </w:tc>
      </w:tr>
      <w:tr w:rsidR="0020333B" w14:paraId="28E673C2"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78FFDCAF" w14:textId="77777777" w:rsidR="0020333B" w:rsidRDefault="0020333B">
            <w:pPr>
              <w:spacing w:before="60" w:after="60"/>
              <w:ind w:left="181" w:hanging="142"/>
              <w:rPr>
                <w:sz w:val="22"/>
                <w:szCs w:val="22"/>
              </w:rPr>
            </w:pPr>
            <w:r>
              <w:rPr>
                <w:sz w:val="22"/>
                <w:szCs w:val="22"/>
              </w:rPr>
              <w:t>- Seek agreement on method for conveying water, path of the pipeline, location of public water points and model of service provision</w:t>
            </w:r>
          </w:p>
        </w:tc>
        <w:tc>
          <w:tcPr>
            <w:tcW w:w="0" w:type="auto"/>
            <w:vMerge/>
            <w:tcBorders>
              <w:top w:val="nil"/>
              <w:left w:val="single" w:sz="4" w:space="0" w:color="auto"/>
              <w:bottom w:val="nil"/>
              <w:right w:val="single" w:sz="4" w:space="0" w:color="auto"/>
            </w:tcBorders>
            <w:vAlign w:val="center"/>
            <w:hideMark/>
          </w:tcPr>
          <w:p w14:paraId="0AC21FDC"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CFF2E" w14:textId="77777777" w:rsidR="0020333B" w:rsidRDefault="0020333B"/>
        </w:tc>
      </w:tr>
      <w:tr w:rsidR="0020333B" w14:paraId="30761C7A"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3B078" w14:textId="77777777" w:rsidR="0020333B" w:rsidRDefault="0020333B" w:rsidP="004B5DB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
              </w:rPr>
            </w:pPr>
            <w:r>
              <w:rPr>
                <w:i/>
              </w:rPr>
              <w:t>Construction</w:t>
            </w:r>
          </w:p>
        </w:tc>
        <w:tc>
          <w:tcPr>
            <w:tcW w:w="0" w:type="auto"/>
            <w:vMerge/>
            <w:tcBorders>
              <w:top w:val="nil"/>
              <w:left w:val="single" w:sz="4" w:space="0" w:color="auto"/>
              <w:bottom w:val="nil"/>
              <w:right w:val="single" w:sz="4" w:space="0" w:color="auto"/>
            </w:tcBorders>
            <w:vAlign w:val="center"/>
            <w:hideMark/>
          </w:tcPr>
          <w:p w14:paraId="3EC5C103"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A6CA0" w14:textId="77777777" w:rsidR="0020333B" w:rsidRDefault="0020333B"/>
        </w:tc>
      </w:tr>
      <w:tr w:rsidR="0020333B" w14:paraId="267036F9"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3E2F52CE" w14:textId="77777777" w:rsidR="0020333B" w:rsidRDefault="0020333B">
            <w:pPr>
              <w:spacing w:before="60" w:after="60"/>
              <w:ind w:left="181" w:hanging="142"/>
              <w:rPr>
                <w:sz w:val="22"/>
                <w:szCs w:val="22"/>
              </w:rPr>
            </w:pPr>
            <w:r>
              <w:rPr>
                <w:sz w:val="22"/>
                <w:szCs w:val="22"/>
              </w:rPr>
              <w:t xml:space="preserve"> - Hiring of contractors, if any, in cooperation with local government</w:t>
            </w:r>
          </w:p>
        </w:tc>
        <w:tc>
          <w:tcPr>
            <w:tcW w:w="0" w:type="auto"/>
            <w:vMerge/>
            <w:tcBorders>
              <w:top w:val="nil"/>
              <w:left w:val="single" w:sz="4" w:space="0" w:color="auto"/>
              <w:bottom w:val="nil"/>
              <w:right w:val="single" w:sz="4" w:space="0" w:color="auto"/>
            </w:tcBorders>
            <w:vAlign w:val="center"/>
            <w:hideMark/>
          </w:tcPr>
          <w:p w14:paraId="3888848D"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1D549" w14:textId="77777777" w:rsidR="0020333B" w:rsidRDefault="0020333B"/>
        </w:tc>
      </w:tr>
      <w:tr w:rsidR="0020333B" w14:paraId="603C1F00"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39F9C60D" w14:textId="7C5D2D05" w:rsidR="0020333B" w:rsidRDefault="008C3C9C">
            <w:pPr>
              <w:spacing w:before="60" w:after="60"/>
              <w:ind w:left="181" w:hanging="142"/>
              <w:rPr>
                <w:sz w:val="22"/>
                <w:szCs w:val="22"/>
              </w:rPr>
            </w:pPr>
            <w:r>
              <w:rPr>
                <w:sz w:val="22"/>
                <w:szCs w:val="22"/>
              </w:rPr>
              <w:t xml:space="preserve"> - </w:t>
            </w:r>
            <w:r w:rsidR="0020333B">
              <w:rPr>
                <w:sz w:val="22"/>
                <w:szCs w:val="22"/>
              </w:rPr>
              <w:t>Supervision of construction quality and appropriate use of funds</w:t>
            </w:r>
          </w:p>
        </w:tc>
        <w:tc>
          <w:tcPr>
            <w:tcW w:w="0" w:type="auto"/>
            <w:vMerge/>
            <w:tcBorders>
              <w:top w:val="nil"/>
              <w:left w:val="single" w:sz="4" w:space="0" w:color="auto"/>
              <w:bottom w:val="nil"/>
              <w:right w:val="single" w:sz="4" w:space="0" w:color="auto"/>
            </w:tcBorders>
            <w:vAlign w:val="center"/>
            <w:hideMark/>
          </w:tcPr>
          <w:p w14:paraId="3E2FA129"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683D3" w14:textId="77777777" w:rsidR="0020333B" w:rsidRDefault="0020333B"/>
        </w:tc>
      </w:tr>
      <w:tr w:rsidR="0020333B" w14:paraId="3666CC06" w14:textId="77777777" w:rsidTr="004B5DBA">
        <w:trPr>
          <w:jc w:val="center"/>
        </w:trPr>
        <w:tc>
          <w:tcPr>
            <w:tcW w:w="5387" w:type="dxa"/>
            <w:tcBorders>
              <w:top w:val="single" w:sz="4" w:space="0" w:color="auto"/>
              <w:left w:val="single" w:sz="4" w:space="0" w:color="auto"/>
              <w:bottom w:val="single" w:sz="4" w:space="0" w:color="auto"/>
              <w:right w:val="single" w:sz="4" w:space="0" w:color="auto"/>
            </w:tcBorders>
            <w:hideMark/>
          </w:tcPr>
          <w:p w14:paraId="7D7E2BAC" w14:textId="77777777" w:rsidR="0020333B" w:rsidRDefault="0020333B">
            <w:pPr>
              <w:spacing w:before="60" w:after="60"/>
              <w:ind w:left="181" w:hanging="142"/>
              <w:rPr>
                <w:sz w:val="22"/>
                <w:szCs w:val="22"/>
              </w:rPr>
            </w:pPr>
            <w:r>
              <w:rPr>
                <w:sz w:val="22"/>
                <w:szCs w:val="22"/>
              </w:rPr>
              <w:t>- Develop a Water Safety Plan in cooperation with local government</w:t>
            </w:r>
          </w:p>
        </w:tc>
        <w:tc>
          <w:tcPr>
            <w:tcW w:w="0" w:type="auto"/>
            <w:vMerge/>
            <w:tcBorders>
              <w:top w:val="nil"/>
              <w:left w:val="single" w:sz="4" w:space="0" w:color="auto"/>
              <w:bottom w:val="nil"/>
              <w:right w:val="single" w:sz="4" w:space="0" w:color="auto"/>
            </w:tcBorders>
            <w:vAlign w:val="center"/>
            <w:hideMark/>
          </w:tcPr>
          <w:p w14:paraId="6C5E5C2B"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2D308" w14:textId="77777777" w:rsidR="0020333B" w:rsidRDefault="0020333B"/>
        </w:tc>
      </w:tr>
      <w:tr w:rsidR="0020333B" w14:paraId="57E4E1EB"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hideMark/>
          </w:tcPr>
          <w:p w14:paraId="20ADCE3C" w14:textId="77777777" w:rsidR="0020333B" w:rsidRDefault="0020333B">
            <w:pPr>
              <w:spacing w:before="60" w:after="60"/>
              <w:rPr>
                <w:b/>
              </w:rPr>
            </w:pPr>
            <w:r>
              <w:rPr>
                <w:b/>
              </w:rPr>
              <w:t>HANDOVER</w:t>
            </w:r>
          </w:p>
        </w:tc>
        <w:tc>
          <w:tcPr>
            <w:tcW w:w="457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6CD9549" w14:textId="77777777" w:rsidR="0020333B" w:rsidRDefault="0020333B" w:rsidP="004B5DBA">
            <w:pPr>
              <w:pBdr>
                <w:top w:val="none" w:sz="0" w:space="0" w:color="auto"/>
                <w:left w:val="none" w:sz="0" w:space="0" w:color="auto"/>
                <w:bottom w:val="none" w:sz="0" w:space="0" w:color="auto"/>
                <w:right w:val="none" w:sz="0" w:space="0" w:color="auto"/>
                <w:between w:val="none" w:sz="0" w:space="0" w:color="auto"/>
                <w:bar w:val="none" w:sz="0" w:color="auto"/>
              </w:pBdr>
            </w:pPr>
          </w:p>
        </w:tc>
      </w:tr>
      <w:tr w:rsidR="0020333B" w14:paraId="73408F64"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BCA65" w14:textId="77777777" w:rsidR="0020333B" w:rsidRDefault="0020333B" w:rsidP="004B5DB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i/>
              </w:rPr>
            </w:pPr>
            <w:r>
              <w:rPr>
                <w:i/>
              </w:rPr>
              <w:lastRenderedPageBreak/>
              <w:t>Post-Construction</w:t>
            </w:r>
          </w:p>
        </w:tc>
        <w:tc>
          <w:tcPr>
            <w:tcW w:w="2268" w:type="dxa"/>
            <w:vMerge w:val="restart"/>
            <w:tcBorders>
              <w:top w:val="single" w:sz="4" w:space="0" w:color="auto"/>
              <w:left w:val="single" w:sz="4" w:space="0" w:color="auto"/>
              <w:bottom w:val="single" w:sz="4" w:space="0" w:color="auto"/>
              <w:right w:val="single" w:sz="4" w:space="0" w:color="auto"/>
            </w:tcBorders>
          </w:tcPr>
          <w:p w14:paraId="795025E2" w14:textId="77777777" w:rsidR="0020333B" w:rsidRDefault="0020333B"/>
        </w:tc>
        <w:tc>
          <w:tcPr>
            <w:tcW w:w="23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CA3ADB" w14:textId="19C9373D" w:rsidR="0020333B" w:rsidRDefault="0020333B" w:rsidP="004B5DBA">
            <w:pPr>
              <w:pBdr>
                <w:top w:val="none" w:sz="0" w:space="0" w:color="auto"/>
                <w:left w:val="none" w:sz="0" w:space="0" w:color="auto"/>
                <w:bottom w:val="none" w:sz="0" w:space="0" w:color="auto"/>
                <w:right w:val="none" w:sz="0" w:space="0" w:color="auto"/>
                <w:between w:val="none" w:sz="0" w:space="0" w:color="auto"/>
                <w:bar w:val="none" w:sz="0" w:color="auto"/>
              </w:pBdr>
            </w:pPr>
            <w:r>
              <w:rPr>
                <w:noProof/>
                <w:lang w:val="en-GB" w:eastAsia="en-GB"/>
              </w:rPr>
              <mc:AlternateContent>
                <mc:Choice Requires="wps">
                  <w:drawing>
                    <wp:anchor distT="0" distB="0" distL="114300" distR="114300" simplePos="0" relativeHeight="251656192" behindDoc="0" locked="0" layoutInCell="1" allowOverlap="1" wp14:anchorId="39F4517A" wp14:editId="4BAE3196">
                      <wp:simplePos x="0" y="0"/>
                      <wp:positionH relativeFrom="column">
                        <wp:posOffset>657225</wp:posOffset>
                      </wp:positionH>
                      <wp:positionV relativeFrom="paragraph">
                        <wp:posOffset>309880</wp:posOffset>
                      </wp:positionV>
                      <wp:extent cx="0" cy="1371600"/>
                      <wp:effectExtent l="95250" t="0" r="57150" b="57150"/>
                      <wp:wrapNone/>
                      <wp:docPr id="5" name="Straight Connector 5"/>
                      <wp:cNvGraphicFramePr/>
                      <a:graphic xmlns:a="http://schemas.openxmlformats.org/drawingml/2006/main">
                        <a:graphicData uri="http://schemas.microsoft.com/office/word/2010/wordprocessingShape">
                          <wps:wsp>
                            <wps:cNvCnPr/>
                            <wps:spPr>
                              <a:xfrm flipH="1">
                                <a:off x="0" y="0"/>
                                <a:ext cx="0" cy="1371600"/>
                              </a:xfrm>
                              <a:prstGeom prst="line">
                                <a:avLst/>
                              </a:prstGeom>
                              <a:ln>
                                <a:tailEnd type="triangle" w="lg"/>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4.4pt" to="51.7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" strokecolor="black [3200]" strokeweight="2pt">
                      <v:stroke endarrow="block" endarrowwidth="wide" linestyle="thinThin"/>
                    </v:line>
                  </w:pict>
                </mc:Fallback>
              </mc:AlternateContent>
            </w:r>
          </w:p>
        </w:tc>
      </w:tr>
      <w:tr w:rsidR="0020333B" w14:paraId="4E5E6C8F"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hideMark/>
          </w:tcPr>
          <w:p w14:paraId="0EC9D323" w14:textId="77777777" w:rsidR="0020333B" w:rsidRDefault="0020333B">
            <w:pPr>
              <w:spacing w:before="60" w:after="60"/>
              <w:ind w:left="181" w:hanging="142"/>
              <w:rPr>
                <w:sz w:val="22"/>
                <w:szCs w:val="22"/>
              </w:rPr>
            </w:pPr>
            <w:r>
              <w:rPr>
                <w:sz w:val="22"/>
                <w:szCs w:val="22"/>
              </w:rPr>
              <w:t>- Selection of the service provider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59717"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24219" w14:textId="77777777" w:rsidR="0020333B" w:rsidRDefault="0020333B"/>
        </w:tc>
      </w:tr>
      <w:tr w:rsidR="0020333B" w14:paraId="5A787871"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hideMark/>
          </w:tcPr>
          <w:p w14:paraId="17777BA0" w14:textId="77777777" w:rsidR="0020333B" w:rsidRDefault="0020333B">
            <w:pPr>
              <w:spacing w:before="60" w:after="60"/>
              <w:ind w:left="181" w:hanging="142"/>
              <w:rPr>
                <w:sz w:val="22"/>
                <w:szCs w:val="22"/>
              </w:rPr>
            </w:pPr>
            <w:r>
              <w:rPr>
                <w:sz w:val="22"/>
                <w:szCs w:val="22"/>
              </w:rPr>
              <w:t>- Setting of the water tariff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E5C26"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21264" w14:textId="77777777" w:rsidR="0020333B" w:rsidRDefault="0020333B"/>
        </w:tc>
      </w:tr>
      <w:tr w:rsidR="0020333B" w14:paraId="71BCB25B"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hideMark/>
          </w:tcPr>
          <w:p w14:paraId="5AB17964" w14:textId="77777777" w:rsidR="0020333B" w:rsidRDefault="0020333B">
            <w:pPr>
              <w:spacing w:before="60" w:after="60"/>
              <w:ind w:left="181" w:hanging="142"/>
              <w:rPr>
                <w:sz w:val="22"/>
                <w:szCs w:val="22"/>
              </w:rPr>
            </w:pPr>
            <w:r>
              <w:rPr>
                <w:sz w:val="22"/>
                <w:szCs w:val="22"/>
              </w:rPr>
              <w:t>- Clarification on which life cycle costs will be covered by the service provider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AD235"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F3624" w14:textId="77777777" w:rsidR="0020333B" w:rsidRDefault="0020333B"/>
        </w:tc>
      </w:tr>
      <w:tr w:rsidR="0020333B" w14:paraId="3AF9119E"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hideMark/>
          </w:tcPr>
          <w:p w14:paraId="6F133E7F" w14:textId="77777777" w:rsidR="0020333B" w:rsidRDefault="0020333B">
            <w:pPr>
              <w:spacing w:before="60" w:after="60"/>
              <w:ind w:left="181" w:hanging="142"/>
              <w:rPr>
                <w:sz w:val="22"/>
                <w:szCs w:val="22"/>
              </w:rPr>
            </w:pPr>
            <w:r>
              <w:rPr>
                <w:sz w:val="22"/>
                <w:szCs w:val="22"/>
              </w:rPr>
              <w:t>- Clarification on any cost sharing and technical support arrangements with the local government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18EA3"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9F0D5" w14:textId="77777777" w:rsidR="0020333B" w:rsidRDefault="0020333B"/>
        </w:tc>
      </w:tr>
      <w:tr w:rsidR="0020333B" w14:paraId="435CF0A7" w14:textId="77777777" w:rsidTr="0020333B">
        <w:trPr>
          <w:jc w:val="center"/>
        </w:trPr>
        <w:tc>
          <w:tcPr>
            <w:tcW w:w="5387" w:type="dxa"/>
            <w:tcBorders>
              <w:top w:val="single" w:sz="4" w:space="0" w:color="auto"/>
              <w:left w:val="single" w:sz="4" w:space="0" w:color="auto"/>
              <w:bottom w:val="single" w:sz="4" w:space="0" w:color="auto"/>
              <w:right w:val="single" w:sz="4" w:space="0" w:color="auto"/>
            </w:tcBorders>
            <w:hideMark/>
          </w:tcPr>
          <w:p w14:paraId="0025A601" w14:textId="77777777" w:rsidR="0020333B" w:rsidRDefault="0020333B">
            <w:pPr>
              <w:spacing w:before="60" w:after="60"/>
              <w:ind w:left="181" w:hanging="142"/>
              <w:rPr>
                <w:sz w:val="22"/>
                <w:szCs w:val="22"/>
              </w:rPr>
            </w:pPr>
            <w:r>
              <w:rPr>
                <w:sz w:val="22"/>
                <w:szCs w:val="22"/>
              </w:rPr>
              <w:t>- Clarification on responsibilities for ongoing monitoring of service levels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E3267" w14:textId="77777777" w:rsidR="0020333B" w:rsidRDefault="0020333B"/>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0828C" w14:textId="77777777" w:rsidR="0020333B" w:rsidRDefault="0020333B"/>
        </w:tc>
      </w:tr>
    </w:tbl>
    <w:p w14:paraId="3887336A" w14:textId="77777777" w:rsidR="0020333B" w:rsidRDefault="0020333B" w:rsidP="007E4465">
      <w:pPr>
        <w:jc w:val="left"/>
      </w:pPr>
    </w:p>
    <w:p w14:paraId="2D0CDC29" w14:textId="77777777" w:rsidR="007E4465" w:rsidRDefault="007E4465" w:rsidP="007E4465">
      <w:pPr>
        <w:jc w:val="left"/>
      </w:pPr>
    </w:p>
    <w:p w14:paraId="6166DE98" w14:textId="77777777" w:rsidR="007E4465" w:rsidRDefault="007E4465" w:rsidP="007E4465">
      <w:pPr>
        <w:jc w:val="left"/>
      </w:pPr>
    </w:p>
    <w:p w14:paraId="427654EB" w14:textId="77777777" w:rsidR="007E4465" w:rsidRDefault="007E4465" w:rsidP="007E4465">
      <w:pPr>
        <w:jc w:val="left"/>
      </w:pPr>
    </w:p>
    <w:p w14:paraId="50A4A432" w14:textId="77777777" w:rsidR="007E4465" w:rsidRDefault="007E4465" w:rsidP="007E4465">
      <w:pPr>
        <w:jc w:val="left"/>
      </w:pPr>
    </w:p>
    <w:p w14:paraId="573BF06C" w14:textId="77777777" w:rsidR="007E4465" w:rsidRDefault="007E4465" w:rsidP="007E4465">
      <w:pPr>
        <w:jc w:val="left"/>
      </w:pPr>
    </w:p>
    <w:p w14:paraId="4C0C5D69" w14:textId="14662101" w:rsidR="005C3194" w:rsidRPr="00CE5141" w:rsidRDefault="005C3194" w:rsidP="0020333B">
      <w:pPr>
        <w:pStyle w:val="Heading1"/>
      </w:pPr>
    </w:p>
    <w:sectPr w:rsidR="005C3194" w:rsidRPr="00CE5141" w:rsidSect="005C319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6956F" w14:textId="77777777" w:rsidR="001A2A34" w:rsidRDefault="001A2A34" w:rsidP="005C3194">
      <w:r>
        <w:separator/>
      </w:r>
    </w:p>
  </w:endnote>
  <w:endnote w:type="continuationSeparator" w:id="0">
    <w:p w14:paraId="167077C8" w14:textId="77777777" w:rsidR="001A2A34" w:rsidRDefault="001A2A34" w:rsidP="005C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ˆøªÜÂ">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B903" w14:textId="77777777" w:rsidR="001A2A34" w:rsidRDefault="001A2A34" w:rsidP="005C3194">
      <w:r>
        <w:separator/>
      </w:r>
    </w:p>
  </w:footnote>
  <w:footnote w:type="continuationSeparator" w:id="0">
    <w:p w14:paraId="4C4C4471" w14:textId="77777777" w:rsidR="001A2A34" w:rsidRDefault="001A2A34" w:rsidP="005C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23"/>
      <w:gridCol w:w="9547"/>
    </w:tblGrid>
    <w:tr w:rsidR="007A5A6D" w:rsidRPr="0025191F" w14:paraId="65ABD154" w14:textId="77777777" w:rsidTr="00055460">
      <w:tc>
        <w:tcPr>
          <w:tcW w:w="212" w:type="pct"/>
          <w:tcBorders>
            <w:bottom w:val="nil"/>
            <w:right w:val="single" w:sz="4" w:space="0" w:color="BFBFBF"/>
          </w:tcBorders>
        </w:tcPr>
        <w:p w14:paraId="566801E7" w14:textId="77777777" w:rsidR="007A5A6D" w:rsidRPr="007B7F10" w:rsidRDefault="007A5A6D" w:rsidP="005C3194">
          <w:pPr>
            <w:rPr>
              <w:rFonts w:eastAsia="Cambria"/>
            </w:rPr>
          </w:pPr>
          <w:r w:rsidRPr="007B7F10">
            <w:fldChar w:fldCharType="begin"/>
          </w:r>
          <w:r w:rsidRPr="007B7F10">
            <w:instrText xml:space="preserve"> PAGE   \* MERGEFORMAT </w:instrText>
          </w:r>
          <w:r w:rsidRPr="007B7F10">
            <w:fldChar w:fldCharType="separate"/>
          </w:r>
          <w:r w:rsidR="00FD4FD6">
            <w:rPr>
              <w:noProof/>
            </w:rPr>
            <w:t>24</w:t>
          </w:r>
          <w:r w:rsidRPr="007B7F10">
            <w:fldChar w:fldCharType="end"/>
          </w:r>
        </w:p>
      </w:tc>
      <w:tc>
        <w:tcPr>
          <w:tcW w:w="4788" w:type="pct"/>
          <w:tcBorders>
            <w:left w:val="single" w:sz="4" w:space="0" w:color="BFBFBF"/>
            <w:bottom w:val="nil"/>
          </w:tcBorders>
        </w:tcPr>
        <w:p w14:paraId="6F1DCF6F" w14:textId="76189072" w:rsidR="007A5A6D" w:rsidRPr="0025191F" w:rsidRDefault="001A2A34" w:rsidP="005C3194">
          <w:pPr>
            <w:rPr>
              <w:rFonts w:eastAsia="Cambria"/>
            </w:rPr>
          </w:pPr>
          <w:sdt>
            <w:sdtPr>
              <w:alias w:val="Title"/>
              <w:id w:val="-271091761"/>
              <w:placeholder>
                <w:docPart w:val="B1727C16C54BA647AACD3E2BA3A2C6B5"/>
              </w:placeholder>
              <w:dataBinding w:prefixMappings="xmlns:ns0='http://schemas.openxmlformats.org/package/2006/metadata/core-properties' xmlns:ns1='http://purl.org/dc/elements/1.1/'" w:xpath="/ns0:coreProperties[1]/ns1:title[1]" w:storeItemID="{6C3C8BC8-F283-45AE-878A-BAB7291924A1}"/>
              <w:text/>
            </w:sdtPr>
            <w:sdtEndPr/>
            <w:sdtContent>
              <w:r w:rsidR="007A5A6D">
                <w:rPr>
                  <w:lang w:val="en-US"/>
                </w:rPr>
                <w:t>GUIDANCE NOTE: DESIGNING SUSTAINABLE RURAL WATER SUPPLY SERVICES</w:t>
              </w:r>
            </w:sdtContent>
          </w:sdt>
        </w:p>
      </w:tc>
    </w:tr>
  </w:tbl>
  <w:p w14:paraId="0B8A7509" w14:textId="77777777" w:rsidR="007A5A6D" w:rsidRDefault="007A5A6D" w:rsidP="005C3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597"/>
      <w:gridCol w:w="373"/>
    </w:tblGrid>
    <w:tr w:rsidR="007A5A6D" w:rsidRPr="0025191F" w14:paraId="4743FB98" w14:textId="77777777" w:rsidTr="00055460">
      <w:tc>
        <w:tcPr>
          <w:tcW w:w="4813" w:type="pct"/>
          <w:tcBorders>
            <w:bottom w:val="nil"/>
            <w:right w:val="single" w:sz="4" w:space="0" w:color="BFBFBF"/>
          </w:tcBorders>
        </w:tcPr>
        <w:p w14:paraId="1933BDC6" w14:textId="73FF65D8" w:rsidR="007A5A6D" w:rsidRPr="007B7F10" w:rsidRDefault="001A2A34" w:rsidP="005C3194">
          <w:pPr>
            <w:rPr>
              <w:rFonts w:eastAsia="Cambria"/>
            </w:rPr>
          </w:pPr>
          <w:sdt>
            <w:sdtPr>
              <w:alias w:val="Title"/>
              <w:id w:val="-1608736623"/>
              <w:dataBinding w:prefixMappings="xmlns:ns0='http://schemas.openxmlformats.org/package/2006/metadata/core-properties' xmlns:ns1='http://purl.org/dc/elements/1.1/'" w:xpath="/ns0:coreProperties[1]/ns1:title[1]" w:storeItemID="{6C3C8BC8-F283-45AE-878A-BAB7291924A1}"/>
              <w:text/>
            </w:sdtPr>
            <w:sdtEndPr/>
            <w:sdtContent>
              <w:r w:rsidR="007A5A6D">
                <w:t>GUIDANCE NOTE: DESIGNING SUSTAINABLE RURAL WATER SUPPLY SERVICES</w:t>
              </w:r>
            </w:sdtContent>
          </w:sdt>
        </w:p>
      </w:tc>
      <w:tc>
        <w:tcPr>
          <w:tcW w:w="187" w:type="pct"/>
          <w:tcBorders>
            <w:left w:val="single" w:sz="4" w:space="0" w:color="BFBFBF"/>
            <w:bottom w:val="nil"/>
          </w:tcBorders>
        </w:tcPr>
        <w:p w14:paraId="71042673" w14:textId="77777777" w:rsidR="007A5A6D" w:rsidRPr="0025191F" w:rsidRDefault="007A5A6D" w:rsidP="005C3194">
          <w:pPr>
            <w:rPr>
              <w:rFonts w:eastAsia="Cambria"/>
            </w:rPr>
          </w:pPr>
          <w:r w:rsidRPr="007B7F10">
            <w:fldChar w:fldCharType="begin"/>
          </w:r>
          <w:r w:rsidRPr="007B7F10">
            <w:instrText xml:space="preserve"> PAGE   \* MERGEFORMAT </w:instrText>
          </w:r>
          <w:r w:rsidRPr="007B7F10">
            <w:fldChar w:fldCharType="separate"/>
          </w:r>
          <w:r w:rsidR="00FD4FD6">
            <w:rPr>
              <w:noProof/>
            </w:rPr>
            <w:t>23</w:t>
          </w:r>
          <w:r w:rsidRPr="007B7F10">
            <w:fldChar w:fldCharType="end"/>
          </w:r>
        </w:p>
      </w:tc>
    </w:tr>
  </w:tbl>
  <w:p w14:paraId="1617CCC4" w14:textId="77777777" w:rsidR="007A5A6D" w:rsidRDefault="007A5A6D" w:rsidP="005C3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8A"/>
    <w:multiLevelType w:val="hybridMultilevel"/>
    <w:tmpl w:val="F2ECF72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F1FC3"/>
    <w:multiLevelType w:val="hybridMultilevel"/>
    <w:tmpl w:val="6F7C5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F26A9"/>
    <w:multiLevelType w:val="hybridMultilevel"/>
    <w:tmpl w:val="C31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46D4C"/>
    <w:multiLevelType w:val="hybridMultilevel"/>
    <w:tmpl w:val="9D36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6D06"/>
    <w:multiLevelType w:val="hybridMultilevel"/>
    <w:tmpl w:val="F2ECF72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C5297F"/>
    <w:multiLevelType w:val="hybridMultilevel"/>
    <w:tmpl w:val="3F04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44459"/>
    <w:multiLevelType w:val="hybridMultilevel"/>
    <w:tmpl w:val="BD4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607A7"/>
    <w:multiLevelType w:val="hybridMultilevel"/>
    <w:tmpl w:val="7E7CF37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01DE9"/>
    <w:multiLevelType w:val="hybridMultilevel"/>
    <w:tmpl w:val="49E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510E3"/>
    <w:multiLevelType w:val="hybridMultilevel"/>
    <w:tmpl w:val="EF8ED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34C50"/>
    <w:multiLevelType w:val="hybridMultilevel"/>
    <w:tmpl w:val="9E4A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A4D1B"/>
    <w:multiLevelType w:val="hybridMultilevel"/>
    <w:tmpl w:val="AE2A2244"/>
    <w:lvl w:ilvl="0" w:tplc="46DCB606">
      <w:numFmt w:val="bullet"/>
      <w:lvlText w:val="-"/>
      <w:lvlJc w:val="left"/>
      <w:pPr>
        <w:ind w:left="440" w:hanging="360"/>
      </w:pPr>
      <w:rPr>
        <w:rFonts w:ascii="News Gothic MT" w:eastAsiaTheme="minorEastAsia" w:hAnsi="News Gothic MT"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nsid w:val="5CED4638"/>
    <w:multiLevelType w:val="hybridMultilevel"/>
    <w:tmpl w:val="2D9C2934"/>
    <w:lvl w:ilvl="0" w:tplc="46DCB606">
      <w:numFmt w:val="bullet"/>
      <w:lvlText w:val="-"/>
      <w:lvlJc w:val="left"/>
      <w:pPr>
        <w:ind w:left="440" w:hanging="360"/>
      </w:pPr>
      <w:rPr>
        <w:rFonts w:ascii="News Gothic MT" w:eastAsiaTheme="minorEastAsia" w:hAnsi="News Gothic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A31E3"/>
    <w:multiLevelType w:val="hybridMultilevel"/>
    <w:tmpl w:val="328232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
  </w:num>
  <w:num w:numId="5">
    <w:abstractNumId w:val="9"/>
  </w:num>
  <w:num w:numId="6">
    <w:abstractNumId w:val="3"/>
  </w:num>
  <w:num w:numId="7">
    <w:abstractNumId w:val="6"/>
  </w:num>
  <w:num w:numId="8">
    <w:abstractNumId w:val="2"/>
  </w:num>
  <w:num w:numId="9">
    <w:abstractNumId w:val="8"/>
  </w:num>
  <w:num w:numId="10">
    <w:abstractNumId w:val="10"/>
  </w:num>
  <w:num w:numId="11">
    <w:abstractNumId w:val="5"/>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A0"/>
    <w:rsid w:val="000100D5"/>
    <w:rsid w:val="00017128"/>
    <w:rsid w:val="00017409"/>
    <w:rsid w:val="00022A1E"/>
    <w:rsid w:val="000318DC"/>
    <w:rsid w:val="00040DCC"/>
    <w:rsid w:val="0004129C"/>
    <w:rsid w:val="0004545C"/>
    <w:rsid w:val="000478BF"/>
    <w:rsid w:val="00053072"/>
    <w:rsid w:val="00055460"/>
    <w:rsid w:val="00060074"/>
    <w:rsid w:val="00062007"/>
    <w:rsid w:val="00070705"/>
    <w:rsid w:val="00071F59"/>
    <w:rsid w:val="00093D1D"/>
    <w:rsid w:val="00094E6A"/>
    <w:rsid w:val="00094EED"/>
    <w:rsid w:val="000A56A0"/>
    <w:rsid w:val="000A65AF"/>
    <w:rsid w:val="000B3A69"/>
    <w:rsid w:val="000C43C4"/>
    <w:rsid w:val="000C46FD"/>
    <w:rsid w:val="000D2BD9"/>
    <w:rsid w:val="000D7D0F"/>
    <w:rsid w:val="000E143E"/>
    <w:rsid w:val="000F287C"/>
    <w:rsid w:val="001040E1"/>
    <w:rsid w:val="00115932"/>
    <w:rsid w:val="00124E78"/>
    <w:rsid w:val="00126A24"/>
    <w:rsid w:val="0013557F"/>
    <w:rsid w:val="00150E79"/>
    <w:rsid w:val="00154477"/>
    <w:rsid w:val="001618AB"/>
    <w:rsid w:val="001646B3"/>
    <w:rsid w:val="00164CF0"/>
    <w:rsid w:val="00166128"/>
    <w:rsid w:val="00177EEB"/>
    <w:rsid w:val="001A2A34"/>
    <w:rsid w:val="001A5176"/>
    <w:rsid w:val="001A7939"/>
    <w:rsid w:val="001B6323"/>
    <w:rsid w:val="001C5CF8"/>
    <w:rsid w:val="001D0FE3"/>
    <w:rsid w:val="001E106A"/>
    <w:rsid w:val="001E19EF"/>
    <w:rsid w:val="001E76BB"/>
    <w:rsid w:val="001F027F"/>
    <w:rsid w:val="001F2EB6"/>
    <w:rsid w:val="001F5755"/>
    <w:rsid w:val="0020333B"/>
    <w:rsid w:val="00205C82"/>
    <w:rsid w:val="00206F73"/>
    <w:rsid w:val="00214E4C"/>
    <w:rsid w:val="00220DB4"/>
    <w:rsid w:val="00221ED9"/>
    <w:rsid w:val="00235131"/>
    <w:rsid w:val="00241F57"/>
    <w:rsid w:val="00242106"/>
    <w:rsid w:val="00244A3D"/>
    <w:rsid w:val="00244B67"/>
    <w:rsid w:val="00254F1E"/>
    <w:rsid w:val="00271900"/>
    <w:rsid w:val="0027257D"/>
    <w:rsid w:val="00274078"/>
    <w:rsid w:val="0027572F"/>
    <w:rsid w:val="00276C2C"/>
    <w:rsid w:val="00280EFE"/>
    <w:rsid w:val="0029155A"/>
    <w:rsid w:val="00292184"/>
    <w:rsid w:val="002A1977"/>
    <w:rsid w:val="002A2344"/>
    <w:rsid w:val="002A5D2F"/>
    <w:rsid w:val="002B24C3"/>
    <w:rsid w:val="002B6A29"/>
    <w:rsid w:val="002D4963"/>
    <w:rsid w:val="002D7F42"/>
    <w:rsid w:val="002E24F3"/>
    <w:rsid w:val="002E269E"/>
    <w:rsid w:val="002E26A6"/>
    <w:rsid w:val="002E2773"/>
    <w:rsid w:val="002E3EF4"/>
    <w:rsid w:val="003041CE"/>
    <w:rsid w:val="003149AE"/>
    <w:rsid w:val="003226D1"/>
    <w:rsid w:val="00324128"/>
    <w:rsid w:val="00340B04"/>
    <w:rsid w:val="00372ACB"/>
    <w:rsid w:val="00375D41"/>
    <w:rsid w:val="003760AB"/>
    <w:rsid w:val="00383689"/>
    <w:rsid w:val="00383A26"/>
    <w:rsid w:val="003857B7"/>
    <w:rsid w:val="003928CD"/>
    <w:rsid w:val="00392CD9"/>
    <w:rsid w:val="0039361C"/>
    <w:rsid w:val="003945D0"/>
    <w:rsid w:val="00395008"/>
    <w:rsid w:val="00395410"/>
    <w:rsid w:val="00395CBF"/>
    <w:rsid w:val="003A405B"/>
    <w:rsid w:val="003A4E0A"/>
    <w:rsid w:val="003C6D88"/>
    <w:rsid w:val="003D7C0F"/>
    <w:rsid w:val="003E1B1C"/>
    <w:rsid w:val="003E7ED5"/>
    <w:rsid w:val="003F3AD2"/>
    <w:rsid w:val="004243DD"/>
    <w:rsid w:val="004420D1"/>
    <w:rsid w:val="004453AB"/>
    <w:rsid w:val="0045393F"/>
    <w:rsid w:val="00462228"/>
    <w:rsid w:val="004655B5"/>
    <w:rsid w:val="00465B5B"/>
    <w:rsid w:val="004701A1"/>
    <w:rsid w:val="004705CF"/>
    <w:rsid w:val="00474051"/>
    <w:rsid w:val="00482157"/>
    <w:rsid w:val="004A5B06"/>
    <w:rsid w:val="004B5DBA"/>
    <w:rsid w:val="004B7D35"/>
    <w:rsid w:val="004C2F16"/>
    <w:rsid w:val="004C4625"/>
    <w:rsid w:val="004E2132"/>
    <w:rsid w:val="004E60C0"/>
    <w:rsid w:val="004E777C"/>
    <w:rsid w:val="004F43CE"/>
    <w:rsid w:val="005005F5"/>
    <w:rsid w:val="00501246"/>
    <w:rsid w:val="0050268C"/>
    <w:rsid w:val="00504D61"/>
    <w:rsid w:val="005079B7"/>
    <w:rsid w:val="00520D7A"/>
    <w:rsid w:val="00522DF7"/>
    <w:rsid w:val="00523339"/>
    <w:rsid w:val="00531B38"/>
    <w:rsid w:val="0054264E"/>
    <w:rsid w:val="005500A9"/>
    <w:rsid w:val="005509A5"/>
    <w:rsid w:val="00553215"/>
    <w:rsid w:val="00567AE7"/>
    <w:rsid w:val="00574DA5"/>
    <w:rsid w:val="00581A74"/>
    <w:rsid w:val="00587E4C"/>
    <w:rsid w:val="005921EF"/>
    <w:rsid w:val="00594F51"/>
    <w:rsid w:val="005B6A57"/>
    <w:rsid w:val="005C1EC3"/>
    <w:rsid w:val="005C3194"/>
    <w:rsid w:val="005C3202"/>
    <w:rsid w:val="005C46B7"/>
    <w:rsid w:val="005C524F"/>
    <w:rsid w:val="005C5DED"/>
    <w:rsid w:val="005D0C21"/>
    <w:rsid w:val="005D63AB"/>
    <w:rsid w:val="005E162C"/>
    <w:rsid w:val="005F20A2"/>
    <w:rsid w:val="005F796C"/>
    <w:rsid w:val="0060198D"/>
    <w:rsid w:val="00604EB5"/>
    <w:rsid w:val="0060609D"/>
    <w:rsid w:val="006077CE"/>
    <w:rsid w:val="00613853"/>
    <w:rsid w:val="00614FB7"/>
    <w:rsid w:val="006222D9"/>
    <w:rsid w:val="0063152A"/>
    <w:rsid w:val="0063225B"/>
    <w:rsid w:val="00637561"/>
    <w:rsid w:val="00642657"/>
    <w:rsid w:val="0064317F"/>
    <w:rsid w:val="006435E3"/>
    <w:rsid w:val="00662CE7"/>
    <w:rsid w:val="00665024"/>
    <w:rsid w:val="006709AC"/>
    <w:rsid w:val="00671713"/>
    <w:rsid w:val="006902EC"/>
    <w:rsid w:val="006910B6"/>
    <w:rsid w:val="00694E58"/>
    <w:rsid w:val="006953C9"/>
    <w:rsid w:val="006B6048"/>
    <w:rsid w:val="006C068C"/>
    <w:rsid w:val="006C30D9"/>
    <w:rsid w:val="006C7618"/>
    <w:rsid w:val="006D6CF3"/>
    <w:rsid w:val="006E1D21"/>
    <w:rsid w:val="006F7BFD"/>
    <w:rsid w:val="00700E96"/>
    <w:rsid w:val="0070185C"/>
    <w:rsid w:val="00704DC7"/>
    <w:rsid w:val="0070546D"/>
    <w:rsid w:val="00714CA2"/>
    <w:rsid w:val="00721AF1"/>
    <w:rsid w:val="0072772E"/>
    <w:rsid w:val="0073181C"/>
    <w:rsid w:val="007376A9"/>
    <w:rsid w:val="00740168"/>
    <w:rsid w:val="00750D0C"/>
    <w:rsid w:val="007577FD"/>
    <w:rsid w:val="00757C36"/>
    <w:rsid w:val="00762D55"/>
    <w:rsid w:val="00762E7F"/>
    <w:rsid w:val="007652FE"/>
    <w:rsid w:val="007674B1"/>
    <w:rsid w:val="0077013C"/>
    <w:rsid w:val="0077564F"/>
    <w:rsid w:val="00783544"/>
    <w:rsid w:val="007911FF"/>
    <w:rsid w:val="00792A81"/>
    <w:rsid w:val="00796301"/>
    <w:rsid w:val="007969ED"/>
    <w:rsid w:val="007A5A6D"/>
    <w:rsid w:val="007B2F6D"/>
    <w:rsid w:val="007D2976"/>
    <w:rsid w:val="007D76BD"/>
    <w:rsid w:val="007E4011"/>
    <w:rsid w:val="007E4465"/>
    <w:rsid w:val="007F7D13"/>
    <w:rsid w:val="0081385F"/>
    <w:rsid w:val="00815DF3"/>
    <w:rsid w:val="00817DA3"/>
    <w:rsid w:val="0082053C"/>
    <w:rsid w:val="00821B73"/>
    <w:rsid w:val="008317A9"/>
    <w:rsid w:val="00832462"/>
    <w:rsid w:val="008330B5"/>
    <w:rsid w:val="008337BC"/>
    <w:rsid w:val="0084692F"/>
    <w:rsid w:val="0084792D"/>
    <w:rsid w:val="00856ADD"/>
    <w:rsid w:val="00864A8A"/>
    <w:rsid w:val="008950F5"/>
    <w:rsid w:val="00896145"/>
    <w:rsid w:val="008A0294"/>
    <w:rsid w:val="008A5837"/>
    <w:rsid w:val="008A5AFF"/>
    <w:rsid w:val="008A6E5E"/>
    <w:rsid w:val="008B03FF"/>
    <w:rsid w:val="008B3F91"/>
    <w:rsid w:val="008B558F"/>
    <w:rsid w:val="008B5CF5"/>
    <w:rsid w:val="008B6A53"/>
    <w:rsid w:val="008C2BC1"/>
    <w:rsid w:val="008C2C14"/>
    <w:rsid w:val="008C3C9C"/>
    <w:rsid w:val="008C69F7"/>
    <w:rsid w:val="008D3D64"/>
    <w:rsid w:val="008F3ADB"/>
    <w:rsid w:val="00911E5F"/>
    <w:rsid w:val="00911F28"/>
    <w:rsid w:val="00914033"/>
    <w:rsid w:val="00915F68"/>
    <w:rsid w:val="00930A74"/>
    <w:rsid w:val="00962A49"/>
    <w:rsid w:val="00963509"/>
    <w:rsid w:val="00967D58"/>
    <w:rsid w:val="00971523"/>
    <w:rsid w:val="009734B3"/>
    <w:rsid w:val="00975FEF"/>
    <w:rsid w:val="009829E8"/>
    <w:rsid w:val="00983440"/>
    <w:rsid w:val="009900F3"/>
    <w:rsid w:val="00994DB7"/>
    <w:rsid w:val="00997E06"/>
    <w:rsid w:val="009A15F1"/>
    <w:rsid w:val="009A1DFD"/>
    <w:rsid w:val="009A2C5C"/>
    <w:rsid w:val="009A4545"/>
    <w:rsid w:val="009A46D7"/>
    <w:rsid w:val="009A5063"/>
    <w:rsid w:val="009A6C6E"/>
    <w:rsid w:val="009E0036"/>
    <w:rsid w:val="009E14AF"/>
    <w:rsid w:val="009E6651"/>
    <w:rsid w:val="009F490B"/>
    <w:rsid w:val="009F4D18"/>
    <w:rsid w:val="00A01C86"/>
    <w:rsid w:val="00A07985"/>
    <w:rsid w:val="00A14B07"/>
    <w:rsid w:val="00A21EE4"/>
    <w:rsid w:val="00A23CA0"/>
    <w:rsid w:val="00A3605B"/>
    <w:rsid w:val="00A438E9"/>
    <w:rsid w:val="00A46379"/>
    <w:rsid w:val="00A524EF"/>
    <w:rsid w:val="00A55E46"/>
    <w:rsid w:val="00A57C85"/>
    <w:rsid w:val="00A62685"/>
    <w:rsid w:val="00A74D06"/>
    <w:rsid w:val="00A76D95"/>
    <w:rsid w:val="00A83BB0"/>
    <w:rsid w:val="00A8597A"/>
    <w:rsid w:val="00A91275"/>
    <w:rsid w:val="00A92553"/>
    <w:rsid w:val="00A971DC"/>
    <w:rsid w:val="00AA3986"/>
    <w:rsid w:val="00AB2F20"/>
    <w:rsid w:val="00AB7427"/>
    <w:rsid w:val="00AE0A0D"/>
    <w:rsid w:val="00AE37DE"/>
    <w:rsid w:val="00AE7849"/>
    <w:rsid w:val="00AF153F"/>
    <w:rsid w:val="00AF2972"/>
    <w:rsid w:val="00AF6924"/>
    <w:rsid w:val="00B062F1"/>
    <w:rsid w:val="00B06FC8"/>
    <w:rsid w:val="00B07907"/>
    <w:rsid w:val="00B14141"/>
    <w:rsid w:val="00B21BED"/>
    <w:rsid w:val="00B24F2F"/>
    <w:rsid w:val="00B36DD4"/>
    <w:rsid w:val="00B4116D"/>
    <w:rsid w:val="00B43449"/>
    <w:rsid w:val="00B53A84"/>
    <w:rsid w:val="00B61F2C"/>
    <w:rsid w:val="00B67DBD"/>
    <w:rsid w:val="00B72AEF"/>
    <w:rsid w:val="00B858FA"/>
    <w:rsid w:val="00B910B3"/>
    <w:rsid w:val="00BB4D1E"/>
    <w:rsid w:val="00BC0413"/>
    <w:rsid w:val="00BC1841"/>
    <w:rsid w:val="00BD5AA7"/>
    <w:rsid w:val="00BF162B"/>
    <w:rsid w:val="00C109E1"/>
    <w:rsid w:val="00C11012"/>
    <w:rsid w:val="00C1530F"/>
    <w:rsid w:val="00C16F2E"/>
    <w:rsid w:val="00C21DE2"/>
    <w:rsid w:val="00C23D50"/>
    <w:rsid w:val="00C246FC"/>
    <w:rsid w:val="00C50830"/>
    <w:rsid w:val="00C6179B"/>
    <w:rsid w:val="00C65C57"/>
    <w:rsid w:val="00C71115"/>
    <w:rsid w:val="00C717ED"/>
    <w:rsid w:val="00C72504"/>
    <w:rsid w:val="00C75855"/>
    <w:rsid w:val="00C94753"/>
    <w:rsid w:val="00CA0CD6"/>
    <w:rsid w:val="00CA49F8"/>
    <w:rsid w:val="00CA5DCF"/>
    <w:rsid w:val="00CA6262"/>
    <w:rsid w:val="00CA6487"/>
    <w:rsid w:val="00CB26E2"/>
    <w:rsid w:val="00CC0CE8"/>
    <w:rsid w:val="00CD080A"/>
    <w:rsid w:val="00CE1603"/>
    <w:rsid w:val="00CE17B3"/>
    <w:rsid w:val="00CE302B"/>
    <w:rsid w:val="00CE383E"/>
    <w:rsid w:val="00CE5141"/>
    <w:rsid w:val="00D05E08"/>
    <w:rsid w:val="00D118D7"/>
    <w:rsid w:val="00D2758F"/>
    <w:rsid w:val="00D30029"/>
    <w:rsid w:val="00D325F1"/>
    <w:rsid w:val="00D41D09"/>
    <w:rsid w:val="00D57B54"/>
    <w:rsid w:val="00D61F4A"/>
    <w:rsid w:val="00D73E0D"/>
    <w:rsid w:val="00D924F2"/>
    <w:rsid w:val="00D9610E"/>
    <w:rsid w:val="00DA2C39"/>
    <w:rsid w:val="00DB3351"/>
    <w:rsid w:val="00DB6FC4"/>
    <w:rsid w:val="00DC5AF8"/>
    <w:rsid w:val="00DC775A"/>
    <w:rsid w:val="00DD24FD"/>
    <w:rsid w:val="00DD3D58"/>
    <w:rsid w:val="00DE7AED"/>
    <w:rsid w:val="00DF441C"/>
    <w:rsid w:val="00DF7200"/>
    <w:rsid w:val="00DF7EFB"/>
    <w:rsid w:val="00E026C8"/>
    <w:rsid w:val="00E02FFD"/>
    <w:rsid w:val="00E3198A"/>
    <w:rsid w:val="00E32FAE"/>
    <w:rsid w:val="00E36253"/>
    <w:rsid w:val="00E453D6"/>
    <w:rsid w:val="00E51061"/>
    <w:rsid w:val="00E51C0C"/>
    <w:rsid w:val="00E56569"/>
    <w:rsid w:val="00E56942"/>
    <w:rsid w:val="00E64224"/>
    <w:rsid w:val="00E75C92"/>
    <w:rsid w:val="00E81DA0"/>
    <w:rsid w:val="00E87E1A"/>
    <w:rsid w:val="00E91CC9"/>
    <w:rsid w:val="00E93AFE"/>
    <w:rsid w:val="00E9478F"/>
    <w:rsid w:val="00E94B13"/>
    <w:rsid w:val="00E950A4"/>
    <w:rsid w:val="00EB44DA"/>
    <w:rsid w:val="00EB526B"/>
    <w:rsid w:val="00EB6280"/>
    <w:rsid w:val="00EC41A7"/>
    <w:rsid w:val="00EF2336"/>
    <w:rsid w:val="00F044B9"/>
    <w:rsid w:val="00F06499"/>
    <w:rsid w:val="00F22564"/>
    <w:rsid w:val="00F31861"/>
    <w:rsid w:val="00F34BE7"/>
    <w:rsid w:val="00F41479"/>
    <w:rsid w:val="00F5532B"/>
    <w:rsid w:val="00F97220"/>
    <w:rsid w:val="00FB681D"/>
    <w:rsid w:val="00FC1179"/>
    <w:rsid w:val="00FD3E49"/>
    <w:rsid w:val="00FD408D"/>
    <w:rsid w:val="00FD4FD6"/>
    <w:rsid w:val="00FE762E"/>
    <w:rsid w:val="00FF51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62F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94"/>
    <w:pPr>
      <w:spacing w:after="180" w:line="274" w:lineRule="auto"/>
      <w:jc w:val="both"/>
    </w:pPr>
    <w:rPr>
      <w:rFonts w:ascii="Cambria" w:hAnsi="Cambria"/>
    </w:rPr>
  </w:style>
  <w:style w:type="paragraph" w:styleId="Heading1">
    <w:name w:val="heading 1"/>
    <w:basedOn w:val="Normal"/>
    <w:next w:val="Normal"/>
    <w:link w:val="Heading1Char"/>
    <w:uiPriority w:val="9"/>
    <w:qFormat/>
    <w:rsid w:val="007F7D13"/>
    <w:pPr>
      <w:keepNext/>
      <w:keepLines/>
      <w:spacing w:before="360" w:after="0" w:line="240" w:lineRule="auto"/>
      <w:outlineLvl w:val="0"/>
    </w:pPr>
    <w:rPr>
      <w:rFonts w:eastAsiaTheme="majorEastAsia" w:cstheme="majorBidi"/>
      <w:bCs/>
      <w:color w:val="09213B" w:themeColor="text2"/>
      <w:sz w:val="32"/>
      <w:szCs w:val="28"/>
    </w:rPr>
  </w:style>
  <w:style w:type="paragraph" w:styleId="Heading2">
    <w:name w:val="heading 2"/>
    <w:basedOn w:val="Normal"/>
    <w:next w:val="Normal"/>
    <w:link w:val="Heading2Char"/>
    <w:uiPriority w:val="9"/>
    <w:unhideWhenUsed/>
    <w:qFormat/>
    <w:rsid w:val="007F7D13"/>
    <w:pPr>
      <w:keepNext/>
      <w:keepLines/>
      <w:spacing w:before="120" w:after="0" w:line="240" w:lineRule="auto"/>
      <w:outlineLvl w:val="1"/>
    </w:pPr>
    <w:rPr>
      <w:rFonts w:eastAsiaTheme="majorEastAsia" w:cstheme="majorBidi"/>
      <w:b/>
      <w:bCs/>
      <w:color w:val="E2751D" w:themeColor="accent3"/>
      <w:sz w:val="28"/>
      <w:szCs w:val="26"/>
    </w:rPr>
  </w:style>
  <w:style w:type="paragraph" w:styleId="Heading3">
    <w:name w:val="heading 3"/>
    <w:basedOn w:val="Normal"/>
    <w:next w:val="Normal"/>
    <w:link w:val="Heading3Char"/>
    <w:uiPriority w:val="9"/>
    <w:unhideWhenUsed/>
    <w:qFormat/>
    <w:rsid w:val="00CE5141"/>
    <w:pPr>
      <w:keepNext/>
      <w:keepLines/>
      <w:spacing w:before="20" w:after="0" w:line="240" w:lineRule="auto"/>
      <w:outlineLvl w:val="2"/>
    </w:pPr>
    <w:rPr>
      <w:rFonts w:eastAsiaTheme="majorEastAsia" w:cstheme="majorBidi"/>
      <w:b/>
      <w:bCs/>
      <w:color w:val="09213B" w:themeColor="text2"/>
      <w:sz w:val="24"/>
    </w:rPr>
  </w:style>
  <w:style w:type="paragraph" w:styleId="Heading4">
    <w:name w:val="heading 4"/>
    <w:basedOn w:val="Normal"/>
    <w:next w:val="Normal"/>
    <w:link w:val="Heading4Char"/>
    <w:uiPriority w:val="9"/>
    <w:semiHidden/>
    <w:unhideWhenUsed/>
    <w:qFormat/>
    <w:rsid w:val="00CE514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CE514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E514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CE5141"/>
    <w:pPr>
      <w:keepNext/>
      <w:keepLines/>
      <w:spacing w:before="200" w:after="0"/>
      <w:outlineLvl w:val="6"/>
    </w:pPr>
    <w:rPr>
      <w:rFonts w:asciiTheme="majorHAnsi" w:eastAsiaTheme="majorEastAsia" w:hAnsiTheme="majorHAnsi" w:cstheme="majorBidi"/>
      <w:i/>
      <w:iCs/>
      <w:color w:val="09213B" w:themeColor="text2"/>
    </w:rPr>
  </w:style>
  <w:style w:type="paragraph" w:styleId="Heading8">
    <w:name w:val="heading 8"/>
    <w:basedOn w:val="Normal"/>
    <w:next w:val="Normal"/>
    <w:link w:val="Heading8Char"/>
    <w:uiPriority w:val="9"/>
    <w:semiHidden/>
    <w:unhideWhenUsed/>
    <w:qFormat/>
    <w:rsid w:val="00CE514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E514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2"/>
    <w:autoRedefine/>
    <w:rsid w:val="00694E58"/>
    <w:rPr>
      <w:color w:val="244A58" w:themeColor="accent2"/>
      <w:sz w:val="24"/>
      <w:szCs w:val="28"/>
    </w:rPr>
  </w:style>
  <w:style w:type="character" w:customStyle="1" w:styleId="Heading2Char">
    <w:name w:val="Heading 2 Char"/>
    <w:basedOn w:val="DefaultParagraphFont"/>
    <w:link w:val="Heading2"/>
    <w:uiPriority w:val="9"/>
    <w:rsid w:val="007F7D13"/>
    <w:rPr>
      <w:rFonts w:ascii="Cambria" w:eastAsiaTheme="majorEastAsia" w:hAnsi="Cambria" w:cstheme="majorBidi"/>
      <w:b/>
      <w:bCs/>
      <w:color w:val="E2751D" w:themeColor="accent3"/>
      <w:sz w:val="28"/>
      <w:szCs w:val="26"/>
    </w:rPr>
  </w:style>
  <w:style w:type="character" w:customStyle="1" w:styleId="Heading1Char">
    <w:name w:val="Heading 1 Char"/>
    <w:basedOn w:val="DefaultParagraphFont"/>
    <w:link w:val="Heading1"/>
    <w:uiPriority w:val="9"/>
    <w:rsid w:val="007F7D13"/>
    <w:rPr>
      <w:rFonts w:ascii="Cambria" w:eastAsiaTheme="majorEastAsia" w:hAnsi="Cambria" w:cstheme="majorBidi"/>
      <w:bCs/>
      <w:color w:val="09213B" w:themeColor="text2"/>
      <w:sz w:val="32"/>
      <w:szCs w:val="28"/>
    </w:rPr>
  </w:style>
  <w:style w:type="paragraph" w:styleId="TOC1">
    <w:name w:val="toc 1"/>
    <w:basedOn w:val="Normal"/>
    <w:next w:val="Normal"/>
    <w:autoRedefine/>
    <w:uiPriority w:val="39"/>
    <w:unhideWhenUsed/>
    <w:rsid w:val="000A56A0"/>
  </w:style>
  <w:style w:type="paragraph" w:styleId="TOC2">
    <w:name w:val="toc 2"/>
    <w:basedOn w:val="Normal"/>
    <w:next w:val="Normal"/>
    <w:autoRedefine/>
    <w:uiPriority w:val="39"/>
    <w:unhideWhenUsed/>
    <w:rsid w:val="000A56A0"/>
    <w:pPr>
      <w:ind w:left="240"/>
    </w:pPr>
  </w:style>
  <w:style w:type="paragraph" w:styleId="TOC3">
    <w:name w:val="toc 3"/>
    <w:basedOn w:val="Normal"/>
    <w:next w:val="Normal"/>
    <w:autoRedefine/>
    <w:uiPriority w:val="39"/>
    <w:unhideWhenUsed/>
    <w:rsid w:val="000A56A0"/>
    <w:pPr>
      <w:ind w:left="480"/>
    </w:pPr>
  </w:style>
  <w:style w:type="paragraph" w:styleId="TOC4">
    <w:name w:val="toc 4"/>
    <w:basedOn w:val="Normal"/>
    <w:next w:val="Normal"/>
    <w:autoRedefine/>
    <w:uiPriority w:val="39"/>
    <w:unhideWhenUsed/>
    <w:rsid w:val="000A56A0"/>
    <w:pPr>
      <w:ind w:left="720"/>
    </w:pPr>
  </w:style>
  <w:style w:type="paragraph" w:styleId="TOC5">
    <w:name w:val="toc 5"/>
    <w:basedOn w:val="Normal"/>
    <w:next w:val="Normal"/>
    <w:autoRedefine/>
    <w:uiPriority w:val="39"/>
    <w:unhideWhenUsed/>
    <w:rsid w:val="000A56A0"/>
    <w:pPr>
      <w:ind w:left="960"/>
    </w:pPr>
  </w:style>
  <w:style w:type="paragraph" w:styleId="TOC6">
    <w:name w:val="toc 6"/>
    <w:basedOn w:val="Normal"/>
    <w:next w:val="Normal"/>
    <w:autoRedefine/>
    <w:uiPriority w:val="39"/>
    <w:unhideWhenUsed/>
    <w:rsid w:val="000A56A0"/>
    <w:pPr>
      <w:ind w:left="1200"/>
    </w:pPr>
  </w:style>
  <w:style w:type="paragraph" w:styleId="TOC7">
    <w:name w:val="toc 7"/>
    <w:basedOn w:val="Normal"/>
    <w:next w:val="Normal"/>
    <w:autoRedefine/>
    <w:uiPriority w:val="39"/>
    <w:unhideWhenUsed/>
    <w:rsid w:val="000A56A0"/>
    <w:pPr>
      <w:ind w:left="1440"/>
    </w:pPr>
  </w:style>
  <w:style w:type="paragraph" w:styleId="TOC8">
    <w:name w:val="toc 8"/>
    <w:basedOn w:val="Normal"/>
    <w:next w:val="Normal"/>
    <w:autoRedefine/>
    <w:uiPriority w:val="39"/>
    <w:unhideWhenUsed/>
    <w:rsid w:val="000A56A0"/>
    <w:pPr>
      <w:ind w:left="1680"/>
    </w:pPr>
  </w:style>
  <w:style w:type="paragraph" w:styleId="TOC9">
    <w:name w:val="toc 9"/>
    <w:basedOn w:val="Normal"/>
    <w:next w:val="Normal"/>
    <w:autoRedefine/>
    <w:uiPriority w:val="39"/>
    <w:unhideWhenUsed/>
    <w:rsid w:val="000A56A0"/>
    <w:pPr>
      <w:ind w:left="1920"/>
    </w:pPr>
  </w:style>
  <w:style w:type="paragraph" w:styleId="Header">
    <w:name w:val="header"/>
    <w:basedOn w:val="Normal"/>
    <w:link w:val="HeaderChar"/>
    <w:uiPriority w:val="99"/>
    <w:unhideWhenUsed/>
    <w:rsid w:val="000A56A0"/>
    <w:pPr>
      <w:tabs>
        <w:tab w:val="center" w:pos="4320"/>
        <w:tab w:val="right" w:pos="8640"/>
      </w:tabs>
    </w:pPr>
  </w:style>
  <w:style w:type="character" w:customStyle="1" w:styleId="HeaderChar">
    <w:name w:val="Header Char"/>
    <w:basedOn w:val="DefaultParagraphFont"/>
    <w:link w:val="Header"/>
    <w:uiPriority w:val="99"/>
    <w:rsid w:val="000A56A0"/>
  </w:style>
  <w:style w:type="character" w:styleId="PageNumber">
    <w:name w:val="page number"/>
    <w:basedOn w:val="DefaultParagraphFont"/>
    <w:uiPriority w:val="99"/>
    <w:semiHidden/>
    <w:unhideWhenUsed/>
    <w:rsid w:val="000A56A0"/>
  </w:style>
  <w:style w:type="paragraph" w:styleId="Footer">
    <w:name w:val="footer"/>
    <w:basedOn w:val="Normal"/>
    <w:link w:val="FooterChar"/>
    <w:uiPriority w:val="99"/>
    <w:unhideWhenUsed/>
    <w:rsid w:val="000A56A0"/>
    <w:pPr>
      <w:tabs>
        <w:tab w:val="center" w:pos="4320"/>
        <w:tab w:val="right" w:pos="8640"/>
      </w:tabs>
    </w:pPr>
  </w:style>
  <w:style w:type="character" w:customStyle="1" w:styleId="FooterChar">
    <w:name w:val="Footer Char"/>
    <w:basedOn w:val="DefaultParagraphFont"/>
    <w:link w:val="Footer"/>
    <w:uiPriority w:val="99"/>
    <w:rsid w:val="000A56A0"/>
  </w:style>
  <w:style w:type="paragraph" w:styleId="ListParagraph">
    <w:name w:val="List Paragraph"/>
    <w:basedOn w:val="Normal"/>
    <w:uiPriority w:val="34"/>
    <w:qFormat/>
    <w:rsid w:val="00CE5141"/>
    <w:pPr>
      <w:spacing w:line="240" w:lineRule="auto"/>
      <w:ind w:left="720" w:hanging="288"/>
      <w:contextualSpacing/>
    </w:pPr>
    <w:rPr>
      <w:color w:val="09213B" w:themeColor="text2"/>
    </w:rPr>
  </w:style>
  <w:style w:type="paragraph" w:styleId="Subtitle">
    <w:name w:val="Subtitle"/>
    <w:basedOn w:val="Normal"/>
    <w:next w:val="Normal"/>
    <w:link w:val="SubtitleChar"/>
    <w:uiPriority w:val="11"/>
    <w:qFormat/>
    <w:rsid w:val="00CE5141"/>
    <w:pPr>
      <w:numPr>
        <w:ilvl w:val="1"/>
      </w:numPr>
    </w:pPr>
    <w:rPr>
      <w:rFonts w:eastAsiaTheme="majorEastAsia" w:cstheme="majorBidi"/>
      <w:iCs/>
      <w:color w:val="0E3560" w:themeColor="text2" w:themeTint="E6"/>
      <w:sz w:val="32"/>
      <w:szCs w:val="24"/>
      <w:lang w:bidi="hi-IN"/>
      <w14:ligatures w14:val="standard"/>
    </w:rPr>
  </w:style>
  <w:style w:type="character" w:customStyle="1" w:styleId="SubtitleChar">
    <w:name w:val="Subtitle Char"/>
    <w:basedOn w:val="DefaultParagraphFont"/>
    <w:link w:val="Subtitle"/>
    <w:uiPriority w:val="11"/>
    <w:rsid w:val="00CE5141"/>
    <w:rPr>
      <w:rFonts w:eastAsiaTheme="majorEastAsia" w:cstheme="majorBidi"/>
      <w:iCs/>
      <w:color w:val="0E3560" w:themeColor="text2" w:themeTint="E6"/>
      <w:sz w:val="32"/>
      <w:szCs w:val="24"/>
      <w:lang w:bidi="hi-IN"/>
      <w14:ligatures w14:val="standard"/>
    </w:rPr>
  </w:style>
  <w:style w:type="character" w:styleId="Hyperlink">
    <w:name w:val="Hyperlink"/>
    <w:basedOn w:val="DefaultParagraphFont"/>
    <w:uiPriority w:val="99"/>
    <w:unhideWhenUsed/>
    <w:rsid w:val="003928CD"/>
    <w:rPr>
      <w:color w:val="7030A0" w:themeColor="hyperlink"/>
      <w:u w:val="single"/>
    </w:rPr>
  </w:style>
  <w:style w:type="paragraph" w:styleId="BalloonText">
    <w:name w:val="Balloon Text"/>
    <w:basedOn w:val="Normal"/>
    <w:link w:val="BalloonTextChar"/>
    <w:uiPriority w:val="99"/>
    <w:semiHidden/>
    <w:unhideWhenUsed/>
    <w:rsid w:val="00520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D7A"/>
    <w:rPr>
      <w:rFonts w:ascii="Lucida Grande" w:hAnsi="Lucida Grande" w:cs="Lucida Grande"/>
      <w:sz w:val="18"/>
      <w:szCs w:val="18"/>
    </w:rPr>
  </w:style>
  <w:style w:type="character" w:customStyle="1" w:styleId="Heading3Char">
    <w:name w:val="Heading 3 Char"/>
    <w:basedOn w:val="DefaultParagraphFont"/>
    <w:link w:val="Heading3"/>
    <w:uiPriority w:val="9"/>
    <w:rsid w:val="00CE5141"/>
    <w:rPr>
      <w:rFonts w:eastAsiaTheme="majorEastAsia" w:cstheme="majorBidi"/>
      <w:b/>
      <w:bCs/>
      <w:color w:val="09213B" w:themeColor="text2"/>
      <w:sz w:val="24"/>
    </w:rPr>
  </w:style>
  <w:style w:type="character" w:customStyle="1" w:styleId="Heading4Char">
    <w:name w:val="Heading 4 Char"/>
    <w:basedOn w:val="DefaultParagraphFont"/>
    <w:link w:val="Heading4"/>
    <w:uiPriority w:val="9"/>
    <w:semiHidden/>
    <w:rsid w:val="00CE514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E514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E514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E5141"/>
    <w:rPr>
      <w:rFonts w:asciiTheme="majorHAnsi" w:eastAsiaTheme="majorEastAsia" w:hAnsiTheme="majorHAnsi" w:cstheme="majorBidi"/>
      <w:i/>
      <w:iCs/>
      <w:color w:val="09213B" w:themeColor="text2"/>
    </w:rPr>
  </w:style>
  <w:style w:type="character" w:customStyle="1" w:styleId="Heading8Char">
    <w:name w:val="Heading 8 Char"/>
    <w:basedOn w:val="DefaultParagraphFont"/>
    <w:link w:val="Heading8"/>
    <w:uiPriority w:val="9"/>
    <w:semiHidden/>
    <w:rsid w:val="00CE514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E5141"/>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CE5141"/>
    <w:pPr>
      <w:spacing w:after="120" w:line="240" w:lineRule="auto"/>
      <w:contextualSpacing/>
    </w:pPr>
    <w:rPr>
      <w:rFonts w:asciiTheme="majorHAnsi" w:eastAsiaTheme="majorEastAsia" w:hAnsiTheme="majorHAnsi" w:cstheme="majorBidi"/>
      <w:color w:val="09213B"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E5141"/>
    <w:rPr>
      <w:rFonts w:asciiTheme="majorHAnsi" w:eastAsiaTheme="majorEastAsia" w:hAnsiTheme="majorHAnsi" w:cstheme="majorBidi"/>
      <w:color w:val="09213B" w:themeColor="text2"/>
      <w:spacing w:val="30"/>
      <w:kern w:val="28"/>
      <w:sz w:val="72"/>
      <w:szCs w:val="52"/>
      <w14:ligatures w14:val="standard"/>
      <w14:numForm w14:val="oldStyle"/>
    </w:rPr>
  </w:style>
  <w:style w:type="character" w:styleId="Strong">
    <w:name w:val="Strong"/>
    <w:basedOn w:val="DefaultParagraphFont"/>
    <w:uiPriority w:val="22"/>
    <w:qFormat/>
    <w:rsid w:val="00CE5141"/>
    <w:rPr>
      <w:b/>
      <w:bCs/>
      <w:color w:val="0E3560" w:themeColor="text2" w:themeTint="E6"/>
    </w:rPr>
  </w:style>
  <w:style w:type="character" w:styleId="Emphasis">
    <w:name w:val="Emphasis"/>
    <w:basedOn w:val="DefaultParagraphFont"/>
    <w:uiPriority w:val="20"/>
    <w:qFormat/>
    <w:rsid w:val="00CE5141"/>
    <w:rPr>
      <w:b w:val="0"/>
      <w:i/>
      <w:iCs/>
      <w:color w:val="09213B" w:themeColor="text2"/>
    </w:rPr>
  </w:style>
  <w:style w:type="paragraph" w:styleId="NoSpacing">
    <w:name w:val="No Spacing"/>
    <w:link w:val="NoSpacingChar"/>
    <w:uiPriority w:val="1"/>
    <w:qFormat/>
    <w:rsid w:val="00CE5141"/>
    <w:pPr>
      <w:spacing w:after="0" w:line="240" w:lineRule="auto"/>
    </w:pPr>
  </w:style>
  <w:style w:type="paragraph" w:styleId="Quote">
    <w:name w:val="Quote"/>
    <w:basedOn w:val="Normal"/>
    <w:next w:val="Normal"/>
    <w:link w:val="QuoteChar"/>
    <w:uiPriority w:val="29"/>
    <w:qFormat/>
    <w:rsid w:val="00CE5141"/>
    <w:pPr>
      <w:pBdr>
        <w:left w:val="single" w:sz="48" w:space="13" w:color="2C7C9F" w:themeColor="accent1"/>
      </w:pBdr>
      <w:spacing w:after="0" w:line="360" w:lineRule="auto"/>
    </w:pPr>
    <w:rPr>
      <w:rFonts w:asciiTheme="majorHAnsi" w:eastAsiaTheme="minorEastAsia" w:hAnsiTheme="majorHAnsi"/>
      <w:b/>
      <w:i/>
      <w:iCs/>
      <w:color w:val="2C7C9F" w:themeColor="accent1"/>
      <w:sz w:val="24"/>
      <w:lang w:bidi="hi-IN"/>
    </w:rPr>
  </w:style>
  <w:style w:type="character" w:customStyle="1" w:styleId="QuoteChar">
    <w:name w:val="Quote Char"/>
    <w:basedOn w:val="DefaultParagraphFont"/>
    <w:link w:val="Quote"/>
    <w:uiPriority w:val="29"/>
    <w:rsid w:val="00CE5141"/>
    <w:rPr>
      <w:rFonts w:asciiTheme="majorHAnsi" w:eastAsiaTheme="minorEastAsia" w:hAnsiTheme="majorHAnsi"/>
      <w:b/>
      <w:i/>
      <w:iCs/>
      <w:color w:val="2C7C9F" w:themeColor="accent1"/>
      <w:sz w:val="24"/>
      <w:lang w:bidi="hi-IN"/>
    </w:rPr>
  </w:style>
  <w:style w:type="paragraph" w:styleId="IntenseQuote">
    <w:name w:val="Intense Quote"/>
    <w:basedOn w:val="Normal"/>
    <w:next w:val="Normal"/>
    <w:link w:val="IntenseQuoteChar"/>
    <w:uiPriority w:val="30"/>
    <w:qFormat/>
    <w:rsid w:val="00CE5141"/>
    <w:pPr>
      <w:pBdr>
        <w:left w:val="single" w:sz="48" w:space="13" w:color="244A58" w:themeColor="accent2"/>
      </w:pBdr>
      <w:spacing w:before="240" w:after="120" w:line="300" w:lineRule="auto"/>
    </w:pPr>
    <w:rPr>
      <w:rFonts w:eastAsiaTheme="minorEastAsia"/>
      <w:b/>
      <w:bCs/>
      <w:i/>
      <w:iCs/>
      <w:color w:val="244A58"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CE5141"/>
    <w:rPr>
      <w:rFonts w:eastAsiaTheme="minorEastAsia"/>
      <w:b/>
      <w:bCs/>
      <w:i/>
      <w:iCs/>
      <w:color w:val="244A58" w:themeColor="accent2"/>
      <w:sz w:val="26"/>
      <w:lang w:bidi="hi-IN"/>
      <w14:ligatures w14:val="standard"/>
      <w14:numForm w14:val="oldStyle"/>
    </w:rPr>
  </w:style>
  <w:style w:type="character" w:styleId="SubtleEmphasis">
    <w:name w:val="Subtle Emphasis"/>
    <w:basedOn w:val="DefaultParagraphFont"/>
    <w:uiPriority w:val="19"/>
    <w:qFormat/>
    <w:rsid w:val="00CE5141"/>
    <w:rPr>
      <w:i/>
      <w:iCs/>
      <w:color w:val="000000"/>
    </w:rPr>
  </w:style>
  <w:style w:type="character" w:styleId="IntenseEmphasis">
    <w:name w:val="Intense Emphasis"/>
    <w:basedOn w:val="DefaultParagraphFont"/>
    <w:uiPriority w:val="21"/>
    <w:qFormat/>
    <w:rsid w:val="00CE5141"/>
    <w:rPr>
      <w:b/>
      <w:bCs/>
      <w:i/>
      <w:iCs/>
      <w:color w:val="09213B" w:themeColor="text2"/>
    </w:rPr>
  </w:style>
  <w:style w:type="character" w:styleId="SubtleReference">
    <w:name w:val="Subtle Reference"/>
    <w:basedOn w:val="DefaultParagraphFont"/>
    <w:uiPriority w:val="31"/>
    <w:qFormat/>
    <w:rsid w:val="00CE5141"/>
    <w:rPr>
      <w:smallCaps/>
      <w:color w:val="000000"/>
      <w:u w:val="single"/>
    </w:rPr>
  </w:style>
  <w:style w:type="character" w:styleId="IntenseReference">
    <w:name w:val="Intense Reference"/>
    <w:basedOn w:val="DefaultParagraphFont"/>
    <w:uiPriority w:val="32"/>
    <w:qFormat/>
    <w:rsid w:val="00CE5141"/>
    <w:rPr>
      <w:rFonts w:asciiTheme="minorHAnsi" w:hAnsiTheme="minorHAnsi"/>
      <w:b/>
      <w:bCs/>
      <w:smallCaps/>
      <w:color w:val="09213B" w:themeColor="text2"/>
      <w:spacing w:val="5"/>
      <w:sz w:val="22"/>
      <w:u w:val="single"/>
    </w:rPr>
  </w:style>
  <w:style w:type="character" w:styleId="BookTitle">
    <w:name w:val="Book Title"/>
    <w:basedOn w:val="DefaultParagraphFont"/>
    <w:uiPriority w:val="33"/>
    <w:qFormat/>
    <w:rsid w:val="00CE5141"/>
    <w:rPr>
      <w:rFonts w:asciiTheme="majorHAnsi" w:hAnsiTheme="majorHAnsi"/>
      <w:b/>
      <w:bCs/>
      <w:caps w:val="0"/>
      <w:smallCaps/>
      <w:color w:val="09213B" w:themeColor="text2"/>
      <w:spacing w:val="10"/>
      <w:sz w:val="22"/>
    </w:rPr>
  </w:style>
  <w:style w:type="paragraph" w:styleId="TOCHeading">
    <w:name w:val="TOC Heading"/>
    <w:basedOn w:val="Heading1"/>
    <w:next w:val="Normal"/>
    <w:uiPriority w:val="39"/>
    <w:semiHidden/>
    <w:unhideWhenUsed/>
    <w:qFormat/>
    <w:rsid w:val="00CE5141"/>
    <w:pPr>
      <w:spacing w:before="480" w:line="264" w:lineRule="auto"/>
      <w:outlineLvl w:val="9"/>
    </w:pPr>
    <w:rPr>
      <w:b/>
    </w:rPr>
  </w:style>
  <w:style w:type="paragraph" w:customStyle="1" w:styleId="PersonalName">
    <w:name w:val="Personal Name"/>
    <w:basedOn w:val="Title"/>
    <w:qFormat/>
    <w:rsid w:val="00CE5141"/>
    <w:rPr>
      <w:b/>
      <w:caps/>
      <w:color w:val="000000"/>
      <w:sz w:val="28"/>
      <w:szCs w:val="28"/>
    </w:rPr>
  </w:style>
  <w:style w:type="paragraph" w:styleId="Caption">
    <w:name w:val="caption"/>
    <w:basedOn w:val="Normal"/>
    <w:next w:val="Normal"/>
    <w:uiPriority w:val="35"/>
    <w:semiHidden/>
    <w:unhideWhenUsed/>
    <w:qFormat/>
    <w:rsid w:val="00CE5141"/>
    <w:pPr>
      <w:spacing w:line="240" w:lineRule="auto"/>
    </w:pPr>
    <w:rPr>
      <w:rFonts w:eastAsiaTheme="minorEastAsia"/>
      <w:b/>
      <w:bCs/>
      <w:smallCaps/>
      <w:color w:val="09213B" w:themeColor="text2"/>
      <w:spacing w:val="6"/>
      <w:szCs w:val="18"/>
      <w:lang w:bidi="hi-IN"/>
    </w:rPr>
  </w:style>
  <w:style w:type="character" w:customStyle="1" w:styleId="NoSpacingChar">
    <w:name w:val="No Spacing Char"/>
    <w:basedOn w:val="DefaultParagraphFont"/>
    <w:link w:val="NoSpacing"/>
    <w:uiPriority w:val="1"/>
    <w:rsid w:val="00CE5141"/>
  </w:style>
  <w:style w:type="paragraph" w:styleId="FootnoteText">
    <w:name w:val="footnote text"/>
    <w:basedOn w:val="Normal"/>
    <w:link w:val="FootnoteTextChar"/>
    <w:uiPriority w:val="99"/>
    <w:unhideWhenUsed/>
    <w:rsid w:val="005C3194"/>
    <w:pPr>
      <w:spacing w:after="0" w:line="240" w:lineRule="auto"/>
    </w:pPr>
    <w:rPr>
      <w:sz w:val="20"/>
      <w:szCs w:val="20"/>
    </w:rPr>
  </w:style>
  <w:style w:type="character" w:customStyle="1" w:styleId="FootnoteTextChar">
    <w:name w:val="Footnote Text Char"/>
    <w:basedOn w:val="DefaultParagraphFont"/>
    <w:link w:val="FootnoteText"/>
    <w:uiPriority w:val="99"/>
    <w:rsid w:val="005C3194"/>
    <w:rPr>
      <w:sz w:val="20"/>
      <w:szCs w:val="20"/>
    </w:rPr>
  </w:style>
  <w:style w:type="character" w:styleId="FootnoteReference">
    <w:name w:val="footnote reference"/>
    <w:basedOn w:val="DefaultParagraphFont"/>
    <w:uiPriority w:val="99"/>
    <w:semiHidden/>
    <w:unhideWhenUsed/>
    <w:rsid w:val="005C3194"/>
    <w:rPr>
      <w:vertAlign w:val="superscript"/>
    </w:rPr>
  </w:style>
  <w:style w:type="paragraph" w:styleId="EndnoteText">
    <w:name w:val="endnote text"/>
    <w:basedOn w:val="Normal"/>
    <w:link w:val="EndnoteTextChar"/>
    <w:uiPriority w:val="99"/>
    <w:unhideWhenUsed/>
    <w:rsid w:val="005C3194"/>
    <w:pPr>
      <w:spacing w:after="0" w:line="240" w:lineRule="auto"/>
    </w:pPr>
    <w:rPr>
      <w:sz w:val="20"/>
      <w:szCs w:val="20"/>
    </w:rPr>
  </w:style>
  <w:style w:type="character" w:customStyle="1" w:styleId="EndnoteTextChar">
    <w:name w:val="Endnote Text Char"/>
    <w:basedOn w:val="DefaultParagraphFont"/>
    <w:link w:val="EndnoteText"/>
    <w:uiPriority w:val="99"/>
    <w:rsid w:val="005C3194"/>
    <w:rPr>
      <w:rFonts w:ascii="Cambria" w:hAnsi="Cambria"/>
      <w:sz w:val="20"/>
      <w:szCs w:val="20"/>
    </w:rPr>
  </w:style>
  <w:style w:type="character" w:styleId="EndnoteReference">
    <w:name w:val="endnote reference"/>
    <w:basedOn w:val="DefaultParagraphFont"/>
    <w:uiPriority w:val="99"/>
    <w:semiHidden/>
    <w:unhideWhenUsed/>
    <w:rsid w:val="005C3194"/>
    <w:rPr>
      <w:vertAlign w:val="superscript"/>
    </w:rPr>
  </w:style>
  <w:style w:type="paragraph" w:customStyle="1" w:styleId="EndNoteBibliography">
    <w:name w:val="EndNote Bibliography"/>
    <w:basedOn w:val="Normal"/>
    <w:rsid w:val="005C3194"/>
    <w:pPr>
      <w:pBdr>
        <w:top w:val="nil"/>
        <w:left w:val="nil"/>
        <w:bottom w:val="nil"/>
        <w:right w:val="nil"/>
        <w:between w:val="nil"/>
        <w:bar w:val="nil"/>
      </w:pBdr>
      <w:spacing w:after="0" w:line="240" w:lineRule="auto"/>
      <w:jc w:val="left"/>
    </w:pPr>
    <w:rPr>
      <w:rFonts w:ascii="Times Roman" w:eastAsia="Arial Unicode MS" w:hAnsi="Times Roman" w:cs="Times New Roman"/>
      <w:sz w:val="24"/>
      <w:szCs w:val="24"/>
      <w:bdr w:val="nil"/>
      <w:lang w:val="en-US"/>
    </w:rPr>
  </w:style>
  <w:style w:type="table" w:styleId="TableGrid">
    <w:name w:val="Table Grid"/>
    <w:basedOn w:val="TableNormal"/>
    <w:uiPriority w:val="59"/>
    <w:rsid w:val="001A79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324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StyleRowBandSize w:val="1"/>
      <w:tblStyleColBandSize w:val="1"/>
      <w:tblBorders>
        <w:top w:val="single" w:sz="8" w:space="0" w:color="2C7C9F" w:themeColor="accent1"/>
        <w:left w:val="single" w:sz="8" w:space="0" w:color="2C7C9F" w:themeColor="accent1"/>
        <w:bottom w:val="single" w:sz="8" w:space="0" w:color="2C7C9F" w:themeColor="accent1"/>
        <w:right w:val="single" w:sz="8" w:space="0" w:color="2C7C9F" w:themeColor="accent1"/>
      </w:tblBorders>
    </w:tblPr>
    <w:tblStylePr w:type="firstRow">
      <w:pPr>
        <w:spacing w:before="0" w:after="0" w:line="240" w:lineRule="auto"/>
      </w:pPr>
      <w:rPr>
        <w:b/>
        <w:bCs/>
        <w:color w:val="FFFFFF" w:themeColor="background1"/>
      </w:rPr>
      <w:tblPr/>
      <w:tcPr>
        <w:shd w:val="clear" w:color="auto" w:fill="2C7C9F" w:themeFill="accent1"/>
      </w:tcPr>
    </w:tblStylePr>
    <w:tblStylePr w:type="lastRow">
      <w:pPr>
        <w:spacing w:before="0" w:after="0" w:line="240" w:lineRule="auto"/>
      </w:pPr>
      <w:rPr>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tcBorders>
      </w:tcPr>
    </w:tblStylePr>
    <w:tblStylePr w:type="firstCol">
      <w:rPr>
        <w:b/>
        <w:bCs/>
      </w:rPr>
    </w:tblStylePr>
    <w:tblStylePr w:type="lastCol">
      <w:rPr>
        <w:b/>
        <w:bCs/>
      </w:r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style>
  <w:style w:type="character" w:styleId="CommentReference">
    <w:name w:val="annotation reference"/>
    <w:basedOn w:val="DefaultParagraphFont"/>
    <w:uiPriority w:val="99"/>
    <w:semiHidden/>
    <w:unhideWhenUsed/>
    <w:rsid w:val="008C2C14"/>
    <w:rPr>
      <w:sz w:val="16"/>
      <w:szCs w:val="16"/>
    </w:rPr>
  </w:style>
  <w:style w:type="paragraph" w:styleId="CommentText">
    <w:name w:val="annotation text"/>
    <w:basedOn w:val="Normal"/>
    <w:link w:val="CommentTextChar"/>
    <w:uiPriority w:val="99"/>
    <w:semiHidden/>
    <w:unhideWhenUsed/>
    <w:rsid w:val="008C2C14"/>
    <w:pPr>
      <w:spacing w:line="240" w:lineRule="auto"/>
    </w:pPr>
    <w:rPr>
      <w:sz w:val="20"/>
      <w:szCs w:val="20"/>
    </w:rPr>
  </w:style>
  <w:style w:type="character" w:customStyle="1" w:styleId="CommentTextChar">
    <w:name w:val="Comment Text Char"/>
    <w:basedOn w:val="DefaultParagraphFont"/>
    <w:link w:val="CommentText"/>
    <w:uiPriority w:val="99"/>
    <w:semiHidden/>
    <w:rsid w:val="008C2C1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C2C14"/>
    <w:rPr>
      <w:b/>
      <w:bCs/>
    </w:rPr>
  </w:style>
  <w:style w:type="character" w:customStyle="1" w:styleId="CommentSubjectChar">
    <w:name w:val="Comment Subject Char"/>
    <w:basedOn w:val="CommentTextChar"/>
    <w:link w:val="CommentSubject"/>
    <w:uiPriority w:val="99"/>
    <w:semiHidden/>
    <w:rsid w:val="008C2C14"/>
    <w:rPr>
      <w:rFonts w:ascii="Cambria" w:hAnsi="Cambria"/>
      <w:b/>
      <w:bCs/>
      <w:sz w:val="20"/>
      <w:szCs w:val="20"/>
    </w:rPr>
  </w:style>
  <w:style w:type="table" w:styleId="LightGrid-Accent6">
    <w:name w:val="Light Grid Accent 6"/>
    <w:basedOn w:val="TableNormal"/>
    <w:uiPriority w:val="62"/>
    <w:rsid w:val="003836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LightGrid-Accent3">
    <w:name w:val="Light Grid Accent 3"/>
    <w:basedOn w:val="TableNormal"/>
    <w:uiPriority w:val="62"/>
    <w:rsid w:val="005F20A2"/>
    <w:pPr>
      <w:spacing w:after="0" w:line="240" w:lineRule="auto"/>
    </w:pPr>
    <w:tblPr>
      <w:tblStyleRowBandSize w:val="1"/>
      <w:tblStyleColBandSize w:val="1"/>
      <w:tblBorders>
        <w:top w:val="single" w:sz="8" w:space="0" w:color="E2751D" w:themeColor="accent3"/>
        <w:left w:val="single" w:sz="8" w:space="0" w:color="E2751D" w:themeColor="accent3"/>
        <w:bottom w:val="single" w:sz="8" w:space="0" w:color="E2751D" w:themeColor="accent3"/>
        <w:right w:val="single" w:sz="8" w:space="0" w:color="E2751D" w:themeColor="accent3"/>
        <w:insideH w:val="single" w:sz="8" w:space="0" w:color="E2751D" w:themeColor="accent3"/>
        <w:insideV w:val="single" w:sz="8" w:space="0" w:color="E2751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751D" w:themeColor="accent3"/>
          <w:left w:val="single" w:sz="8" w:space="0" w:color="E2751D" w:themeColor="accent3"/>
          <w:bottom w:val="single" w:sz="18" w:space="0" w:color="E2751D" w:themeColor="accent3"/>
          <w:right w:val="single" w:sz="8" w:space="0" w:color="E2751D" w:themeColor="accent3"/>
          <w:insideH w:val="nil"/>
          <w:insideV w:val="single" w:sz="8" w:space="0" w:color="E275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1D" w:themeColor="accent3"/>
          <w:left w:val="single" w:sz="8" w:space="0" w:color="E2751D" w:themeColor="accent3"/>
          <w:bottom w:val="single" w:sz="8" w:space="0" w:color="E2751D" w:themeColor="accent3"/>
          <w:right w:val="single" w:sz="8" w:space="0" w:color="E2751D" w:themeColor="accent3"/>
          <w:insideH w:val="nil"/>
          <w:insideV w:val="single" w:sz="8" w:space="0" w:color="E275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1D" w:themeColor="accent3"/>
          <w:left w:val="single" w:sz="8" w:space="0" w:color="E2751D" w:themeColor="accent3"/>
          <w:bottom w:val="single" w:sz="8" w:space="0" w:color="E2751D" w:themeColor="accent3"/>
          <w:right w:val="single" w:sz="8" w:space="0" w:color="E2751D" w:themeColor="accent3"/>
        </w:tcBorders>
      </w:tcPr>
    </w:tblStylePr>
    <w:tblStylePr w:type="band1Vert">
      <w:tblPr/>
      <w:tcPr>
        <w:tcBorders>
          <w:top w:val="single" w:sz="8" w:space="0" w:color="E2751D" w:themeColor="accent3"/>
          <w:left w:val="single" w:sz="8" w:space="0" w:color="E2751D" w:themeColor="accent3"/>
          <w:bottom w:val="single" w:sz="8" w:space="0" w:color="E2751D" w:themeColor="accent3"/>
          <w:right w:val="single" w:sz="8" w:space="0" w:color="E2751D" w:themeColor="accent3"/>
        </w:tcBorders>
        <w:shd w:val="clear" w:color="auto" w:fill="F8DCC7" w:themeFill="accent3" w:themeFillTint="3F"/>
      </w:tcPr>
    </w:tblStylePr>
    <w:tblStylePr w:type="band1Horz">
      <w:tblPr/>
      <w:tcPr>
        <w:tcBorders>
          <w:top w:val="single" w:sz="8" w:space="0" w:color="E2751D" w:themeColor="accent3"/>
          <w:left w:val="single" w:sz="8" w:space="0" w:color="E2751D" w:themeColor="accent3"/>
          <w:bottom w:val="single" w:sz="8" w:space="0" w:color="E2751D" w:themeColor="accent3"/>
          <w:right w:val="single" w:sz="8" w:space="0" w:color="E2751D" w:themeColor="accent3"/>
          <w:insideV w:val="single" w:sz="8" w:space="0" w:color="E2751D" w:themeColor="accent3"/>
        </w:tcBorders>
        <w:shd w:val="clear" w:color="auto" w:fill="F8DCC7" w:themeFill="accent3" w:themeFillTint="3F"/>
      </w:tcPr>
    </w:tblStylePr>
    <w:tblStylePr w:type="band2Horz">
      <w:tblPr/>
      <w:tcPr>
        <w:tcBorders>
          <w:top w:val="single" w:sz="8" w:space="0" w:color="E2751D" w:themeColor="accent3"/>
          <w:left w:val="single" w:sz="8" w:space="0" w:color="E2751D" w:themeColor="accent3"/>
          <w:bottom w:val="single" w:sz="8" w:space="0" w:color="E2751D" w:themeColor="accent3"/>
          <w:right w:val="single" w:sz="8" w:space="0" w:color="E2751D" w:themeColor="accent3"/>
          <w:insideV w:val="single" w:sz="8" w:space="0" w:color="E2751D" w:themeColor="accent3"/>
        </w:tcBorders>
      </w:tcPr>
    </w:tblStylePr>
  </w:style>
  <w:style w:type="paragraph" w:customStyle="1" w:styleId="Default">
    <w:name w:val="Default"/>
    <w:rsid w:val="002E3EF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table" w:styleId="LightGrid-Accent5">
    <w:name w:val="Light Grid Accent 5"/>
    <w:basedOn w:val="TableNormal"/>
    <w:uiPriority w:val="62"/>
    <w:rsid w:val="006910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B606" w:themeColor="accent5"/>
          <w:left w:val="single" w:sz="8" w:space="0" w:color="7EB606" w:themeColor="accent5"/>
          <w:bottom w:val="single" w:sz="18" w:space="0" w:color="7EB606" w:themeColor="accent5"/>
          <w:right w:val="single" w:sz="8" w:space="0" w:color="7EB606" w:themeColor="accent5"/>
          <w:insideH w:val="nil"/>
          <w:insideV w:val="single" w:sz="8" w:space="0" w:color="7EB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insideH w:val="nil"/>
          <w:insideV w:val="single" w:sz="8" w:space="0" w:color="7EB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shd w:val="clear" w:color="auto" w:fill="E4FCB1" w:themeFill="accent5" w:themeFillTint="3F"/>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insideV w:val="single" w:sz="8" w:space="0" w:color="7EB606" w:themeColor="accent5"/>
        </w:tcBorders>
        <w:shd w:val="clear" w:color="auto" w:fill="E4FCB1" w:themeFill="accent5" w:themeFillTint="3F"/>
      </w:tcPr>
    </w:tblStylePr>
    <w:tblStylePr w:type="band2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insideV w:val="single" w:sz="8" w:space="0" w:color="7EB60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94"/>
    <w:pPr>
      <w:spacing w:after="180" w:line="274" w:lineRule="auto"/>
      <w:jc w:val="both"/>
    </w:pPr>
    <w:rPr>
      <w:rFonts w:ascii="Cambria" w:hAnsi="Cambria"/>
    </w:rPr>
  </w:style>
  <w:style w:type="paragraph" w:styleId="Heading1">
    <w:name w:val="heading 1"/>
    <w:basedOn w:val="Normal"/>
    <w:next w:val="Normal"/>
    <w:link w:val="Heading1Char"/>
    <w:uiPriority w:val="9"/>
    <w:qFormat/>
    <w:rsid w:val="007F7D13"/>
    <w:pPr>
      <w:keepNext/>
      <w:keepLines/>
      <w:spacing w:before="360" w:after="0" w:line="240" w:lineRule="auto"/>
      <w:outlineLvl w:val="0"/>
    </w:pPr>
    <w:rPr>
      <w:rFonts w:eastAsiaTheme="majorEastAsia" w:cstheme="majorBidi"/>
      <w:bCs/>
      <w:color w:val="09213B" w:themeColor="text2"/>
      <w:sz w:val="32"/>
      <w:szCs w:val="28"/>
    </w:rPr>
  </w:style>
  <w:style w:type="paragraph" w:styleId="Heading2">
    <w:name w:val="heading 2"/>
    <w:basedOn w:val="Normal"/>
    <w:next w:val="Normal"/>
    <w:link w:val="Heading2Char"/>
    <w:uiPriority w:val="9"/>
    <w:unhideWhenUsed/>
    <w:qFormat/>
    <w:rsid w:val="007F7D13"/>
    <w:pPr>
      <w:keepNext/>
      <w:keepLines/>
      <w:spacing w:before="120" w:after="0" w:line="240" w:lineRule="auto"/>
      <w:outlineLvl w:val="1"/>
    </w:pPr>
    <w:rPr>
      <w:rFonts w:eastAsiaTheme="majorEastAsia" w:cstheme="majorBidi"/>
      <w:b/>
      <w:bCs/>
      <w:color w:val="E2751D" w:themeColor="accent3"/>
      <w:sz w:val="28"/>
      <w:szCs w:val="26"/>
    </w:rPr>
  </w:style>
  <w:style w:type="paragraph" w:styleId="Heading3">
    <w:name w:val="heading 3"/>
    <w:basedOn w:val="Normal"/>
    <w:next w:val="Normal"/>
    <w:link w:val="Heading3Char"/>
    <w:uiPriority w:val="9"/>
    <w:unhideWhenUsed/>
    <w:qFormat/>
    <w:rsid w:val="00CE5141"/>
    <w:pPr>
      <w:keepNext/>
      <w:keepLines/>
      <w:spacing w:before="20" w:after="0" w:line="240" w:lineRule="auto"/>
      <w:outlineLvl w:val="2"/>
    </w:pPr>
    <w:rPr>
      <w:rFonts w:eastAsiaTheme="majorEastAsia" w:cstheme="majorBidi"/>
      <w:b/>
      <w:bCs/>
      <w:color w:val="09213B" w:themeColor="text2"/>
      <w:sz w:val="24"/>
    </w:rPr>
  </w:style>
  <w:style w:type="paragraph" w:styleId="Heading4">
    <w:name w:val="heading 4"/>
    <w:basedOn w:val="Normal"/>
    <w:next w:val="Normal"/>
    <w:link w:val="Heading4Char"/>
    <w:uiPriority w:val="9"/>
    <w:semiHidden/>
    <w:unhideWhenUsed/>
    <w:qFormat/>
    <w:rsid w:val="00CE514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CE514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E514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CE5141"/>
    <w:pPr>
      <w:keepNext/>
      <w:keepLines/>
      <w:spacing w:before="200" w:after="0"/>
      <w:outlineLvl w:val="6"/>
    </w:pPr>
    <w:rPr>
      <w:rFonts w:asciiTheme="majorHAnsi" w:eastAsiaTheme="majorEastAsia" w:hAnsiTheme="majorHAnsi" w:cstheme="majorBidi"/>
      <w:i/>
      <w:iCs/>
      <w:color w:val="09213B" w:themeColor="text2"/>
    </w:rPr>
  </w:style>
  <w:style w:type="paragraph" w:styleId="Heading8">
    <w:name w:val="heading 8"/>
    <w:basedOn w:val="Normal"/>
    <w:next w:val="Normal"/>
    <w:link w:val="Heading8Char"/>
    <w:uiPriority w:val="9"/>
    <w:semiHidden/>
    <w:unhideWhenUsed/>
    <w:qFormat/>
    <w:rsid w:val="00CE514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E514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Heading2"/>
    <w:autoRedefine/>
    <w:rsid w:val="00694E58"/>
    <w:rPr>
      <w:color w:val="244A58" w:themeColor="accent2"/>
      <w:sz w:val="24"/>
      <w:szCs w:val="28"/>
    </w:rPr>
  </w:style>
  <w:style w:type="character" w:customStyle="1" w:styleId="Heading2Char">
    <w:name w:val="Heading 2 Char"/>
    <w:basedOn w:val="DefaultParagraphFont"/>
    <w:link w:val="Heading2"/>
    <w:uiPriority w:val="9"/>
    <w:rsid w:val="007F7D13"/>
    <w:rPr>
      <w:rFonts w:ascii="Cambria" w:eastAsiaTheme="majorEastAsia" w:hAnsi="Cambria" w:cstheme="majorBidi"/>
      <w:b/>
      <w:bCs/>
      <w:color w:val="E2751D" w:themeColor="accent3"/>
      <w:sz w:val="28"/>
      <w:szCs w:val="26"/>
    </w:rPr>
  </w:style>
  <w:style w:type="character" w:customStyle="1" w:styleId="Heading1Char">
    <w:name w:val="Heading 1 Char"/>
    <w:basedOn w:val="DefaultParagraphFont"/>
    <w:link w:val="Heading1"/>
    <w:uiPriority w:val="9"/>
    <w:rsid w:val="007F7D13"/>
    <w:rPr>
      <w:rFonts w:ascii="Cambria" w:eastAsiaTheme="majorEastAsia" w:hAnsi="Cambria" w:cstheme="majorBidi"/>
      <w:bCs/>
      <w:color w:val="09213B" w:themeColor="text2"/>
      <w:sz w:val="32"/>
      <w:szCs w:val="28"/>
    </w:rPr>
  </w:style>
  <w:style w:type="paragraph" w:styleId="TOC1">
    <w:name w:val="toc 1"/>
    <w:basedOn w:val="Normal"/>
    <w:next w:val="Normal"/>
    <w:autoRedefine/>
    <w:uiPriority w:val="39"/>
    <w:unhideWhenUsed/>
    <w:rsid w:val="000A56A0"/>
  </w:style>
  <w:style w:type="paragraph" w:styleId="TOC2">
    <w:name w:val="toc 2"/>
    <w:basedOn w:val="Normal"/>
    <w:next w:val="Normal"/>
    <w:autoRedefine/>
    <w:uiPriority w:val="39"/>
    <w:unhideWhenUsed/>
    <w:rsid w:val="000A56A0"/>
    <w:pPr>
      <w:ind w:left="240"/>
    </w:pPr>
  </w:style>
  <w:style w:type="paragraph" w:styleId="TOC3">
    <w:name w:val="toc 3"/>
    <w:basedOn w:val="Normal"/>
    <w:next w:val="Normal"/>
    <w:autoRedefine/>
    <w:uiPriority w:val="39"/>
    <w:unhideWhenUsed/>
    <w:rsid w:val="000A56A0"/>
    <w:pPr>
      <w:ind w:left="480"/>
    </w:pPr>
  </w:style>
  <w:style w:type="paragraph" w:styleId="TOC4">
    <w:name w:val="toc 4"/>
    <w:basedOn w:val="Normal"/>
    <w:next w:val="Normal"/>
    <w:autoRedefine/>
    <w:uiPriority w:val="39"/>
    <w:unhideWhenUsed/>
    <w:rsid w:val="000A56A0"/>
    <w:pPr>
      <w:ind w:left="720"/>
    </w:pPr>
  </w:style>
  <w:style w:type="paragraph" w:styleId="TOC5">
    <w:name w:val="toc 5"/>
    <w:basedOn w:val="Normal"/>
    <w:next w:val="Normal"/>
    <w:autoRedefine/>
    <w:uiPriority w:val="39"/>
    <w:unhideWhenUsed/>
    <w:rsid w:val="000A56A0"/>
    <w:pPr>
      <w:ind w:left="960"/>
    </w:pPr>
  </w:style>
  <w:style w:type="paragraph" w:styleId="TOC6">
    <w:name w:val="toc 6"/>
    <w:basedOn w:val="Normal"/>
    <w:next w:val="Normal"/>
    <w:autoRedefine/>
    <w:uiPriority w:val="39"/>
    <w:unhideWhenUsed/>
    <w:rsid w:val="000A56A0"/>
    <w:pPr>
      <w:ind w:left="1200"/>
    </w:pPr>
  </w:style>
  <w:style w:type="paragraph" w:styleId="TOC7">
    <w:name w:val="toc 7"/>
    <w:basedOn w:val="Normal"/>
    <w:next w:val="Normal"/>
    <w:autoRedefine/>
    <w:uiPriority w:val="39"/>
    <w:unhideWhenUsed/>
    <w:rsid w:val="000A56A0"/>
    <w:pPr>
      <w:ind w:left="1440"/>
    </w:pPr>
  </w:style>
  <w:style w:type="paragraph" w:styleId="TOC8">
    <w:name w:val="toc 8"/>
    <w:basedOn w:val="Normal"/>
    <w:next w:val="Normal"/>
    <w:autoRedefine/>
    <w:uiPriority w:val="39"/>
    <w:unhideWhenUsed/>
    <w:rsid w:val="000A56A0"/>
    <w:pPr>
      <w:ind w:left="1680"/>
    </w:pPr>
  </w:style>
  <w:style w:type="paragraph" w:styleId="TOC9">
    <w:name w:val="toc 9"/>
    <w:basedOn w:val="Normal"/>
    <w:next w:val="Normal"/>
    <w:autoRedefine/>
    <w:uiPriority w:val="39"/>
    <w:unhideWhenUsed/>
    <w:rsid w:val="000A56A0"/>
    <w:pPr>
      <w:ind w:left="1920"/>
    </w:pPr>
  </w:style>
  <w:style w:type="paragraph" w:styleId="Header">
    <w:name w:val="header"/>
    <w:basedOn w:val="Normal"/>
    <w:link w:val="HeaderChar"/>
    <w:uiPriority w:val="99"/>
    <w:unhideWhenUsed/>
    <w:rsid w:val="000A56A0"/>
    <w:pPr>
      <w:tabs>
        <w:tab w:val="center" w:pos="4320"/>
        <w:tab w:val="right" w:pos="8640"/>
      </w:tabs>
    </w:pPr>
  </w:style>
  <w:style w:type="character" w:customStyle="1" w:styleId="HeaderChar">
    <w:name w:val="Header Char"/>
    <w:basedOn w:val="DefaultParagraphFont"/>
    <w:link w:val="Header"/>
    <w:uiPriority w:val="99"/>
    <w:rsid w:val="000A56A0"/>
  </w:style>
  <w:style w:type="character" w:styleId="PageNumber">
    <w:name w:val="page number"/>
    <w:basedOn w:val="DefaultParagraphFont"/>
    <w:uiPriority w:val="99"/>
    <w:semiHidden/>
    <w:unhideWhenUsed/>
    <w:rsid w:val="000A56A0"/>
  </w:style>
  <w:style w:type="paragraph" w:styleId="Footer">
    <w:name w:val="footer"/>
    <w:basedOn w:val="Normal"/>
    <w:link w:val="FooterChar"/>
    <w:uiPriority w:val="99"/>
    <w:unhideWhenUsed/>
    <w:rsid w:val="000A56A0"/>
    <w:pPr>
      <w:tabs>
        <w:tab w:val="center" w:pos="4320"/>
        <w:tab w:val="right" w:pos="8640"/>
      </w:tabs>
    </w:pPr>
  </w:style>
  <w:style w:type="character" w:customStyle="1" w:styleId="FooterChar">
    <w:name w:val="Footer Char"/>
    <w:basedOn w:val="DefaultParagraphFont"/>
    <w:link w:val="Footer"/>
    <w:uiPriority w:val="99"/>
    <w:rsid w:val="000A56A0"/>
  </w:style>
  <w:style w:type="paragraph" w:styleId="ListParagraph">
    <w:name w:val="List Paragraph"/>
    <w:basedOn w:val="Normal"/>
    <w:uiPriority w:val="34"/>
    <w:qFormat/>
    <w:rsid w:val="00CE5141"/>
    <w:pPr>
      <w:spacing w:line="240" w:lineRule="auto"/>
      <w:ind w:left="720" w:hanging="288"/>
      <w:contextualSpacing/>
    </w:pPr>
    <w:rPr>
      <w:color w:val="09213B" w:themeColor="text2"/>
    </w:rPr>
  </w:style>
  <w:style w:type="paragraph" w:styleId="Subtitle">
    <w:name w:val="Subtitle"/>
    <w:basedOn w:val="Normal"/>
    <w:next w:val="Normal"/>
    <w:link w:val="SubtitleChar"/>
    <w:uiPriority w:val="11"/>
    <w:qFormat/>
    <w:rsid w:val="00CE5141"/>
    <w:pPr>
      <w:numPr>
        <w:ilvl w:val="1"/>
      </w:numPr>
    </w:pPr>
    <w:rPr>
      <w:rFonts w:eastAsiaTheme="majorEastAsia" w:cstheme="majorBidi"/>
      <w:iCs/>
      <w:color w:val="0E3560" w:themeColor="text2" w:themeTint="E6"/>
      <w:sz w:val="32"/>
      <w:szCs w:val="24"/>
      <w:lang w:bidi="hi-IN"/>
      <w14:ligatures w14:val="standard"/>
    </w:rPr>
  </w:style>
  <w:style w:type="character" w:customStyle="1" w:styleId="SubtitleChar">
    <w:name w:val="Subtitle Char"/>
    <w:basedOn w:val="DefaultParagraphFont"/>
    <w:link w:val="Subtitle"/>
    <w:uiPriority w:val="11"/>
    <w:rsid w:val="00CE5141"/>
    <w:rPr>
      <w:rFonts w:eastAsiaTheme="majorEastAsia" w:cstheme="majorBidi"/>
      <w:iCs/>
      <w:color w:val="0E3560" w:themeColor="text2" w:themeTint="E6"/>
      <w:sz w:val="32"/>
      <w:szCs w:val="24"/>
      <w:lang w:bidi="hi-IN"/>
      <w14:ligatures w14:val="standard"/>
    </w:rPr>
  </w:style>
  <w:style w:type="character" w:styleId="Hyperlink">
    <w:name w:val="Hyperlink"/>
    <w:basedOn w:val="DefaultParagraphFont"/>
    <w:uiPriority w:val="99"/>
    <w:unhideWhenUsed/>
    <w:rsid w:val="003928CD"/>
    <w:rPr>
      <w:color w:val="7030A0" w:themeColor="hyperlink"/>
      <w:u w:val="single"/>
    </w:rPr>
  </w:style>
  <w:style w:type="paragraph" w:styleId="BalloonText">
    <w:name w:val="Balloon Text"/>
    <w:basedOn w:val="Normal"/>
    <w:link w:val="BalloonTextChar"/>
    <w:uiPriority w:val="99"/>
    <w:semiHidden/>
    <w:unhideWhenUsed/>
    <w:rsid w:val="00520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D7A"/>
    <w:rPr>
      <w:rFonts w:ascii="Lucida Grande" w:hAnsi="Lucida Grande" w:cs="Lucida Grande"/>
      <w:sz w:val="18"/>
      <w:szCs w:val="18"/>
    </w:rPr>
  </w:style>
  <w:style w:type="character" w:customStyle="1" w:styleId="Heading3Char">
    <w:name w:val="Heading 3 Char"/>
    <w:basedOn w:val="DefaultParagraphFont"/>
    <w:link w:val="Heading3"/>
    <w:uiPriority w:val="9"/>
    <w:rsid w:val="00CE5141"/>
    <w:rPr>
      <w:rFonts w:eastAsiaTheme="majorEastAsia" w:cstheme="majorBidi"/>
      <w:b/>
      <w:bCs/>
      <w:color w:val="09213B" w:themeColor="text2"/>
      <w:sz w:val="24"/>
    </w:rPr>
  </w:style>
  <w:style w:type="character" w:customStyle="1" w:styleId="Heading4Char">
    <w:name w:val="Heading 4 Char"/>
    <w:basedOn w:val="DefaultParagraphFont"/>
    <w:link w:val="Heading4"/>
    <w:uiPriority w:val="9"/>
    <w:semiHidden/>
    <w:rsid w:val="00CE514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E514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E514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E5141"/>
    <w:rPr>
      <w:rFonts w:asciiTheme="majorHAnsi" w:eastAsiaTheme="majorEastAsia" w:hAnsiTheme="majorHAnsi" w:cstheme="majorBidi"/>
      <w:i/>
      <w:iCs/>
      <w:color w:val="09213B" w:themeColor="text2"/>
    </w:rPr>
  </w:style>
  <w:style w:type="character" w:customStyle="1" w:styleId="Heading8Char">
    <w:name w:val="Heading 8 Char"/>
    <w:basedOn w:val="DefaultParagraphFont"/>
    <w:link w:val="Heading8"/>
    <w:uiPriority w:val="9"/>
    <w:semiHidden/>
    <w:rsid w:val="00CE514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E5141"/>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CE5141"/>
    <w:pPr>
      <w:spacing w:after="120" w:line="240" w:lineRule="auto"/>
      <w:contextualSpacing/>
    </w:pPr>
    <w:rPr>
      <w:rFonts w:asciiTheme="majorHAnsi" w:eastAsiaTheme="majorEastAsia" w:hAnsiTheme="majorHAnsi" w:cstheme="majorBidi"/>
      <w:color w:val="09213B"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E5141"/>
    <w:rPr>
      <w:rFonts w:asciiTheme="majorHAnsi" w:eastAsiaTheme="majorEastAsia" w:hAnsiTheme="majorHAnsi" w:cstheme="majorBidi"/>
      <w:color w:val="09213B" w:themeColor="text2"/>
      <w:spacing w:val="30"/>
      <w:kern w:val="28"/>
      <w:sz w:val="72"/>
      <w:szCs w:val="52"/>
      <w14:ligatures w14:val="standard"/>
      <w14:numForm w14:val="oldStyle"/>
    </w:rPr>
  </w:style>
  <w:style w:type="character" w:styleId="Strong">
    <w:name w:val="Strong"/>
    <w:basedOn w:val="DefaultParagraphFont"/>
    <w:uiPriority w:val="22"/>
    <w:qFormat/>
    <w:rsid w:val="00CE5141"/>
    <w:rPr>
      <w:b/>
      <w:bCs/>
      <w:color w:val="0E3560" w:themeColor="text2" w:themeTint="E6"/>
    </w:rPr>
  </w:style>
  <w:style w:type="character" w:styleId="Emphasis">
    <w:name w:val="Emphasis"/>
    <w:basedOn w:val="DefaultParagraphFont"/>
    <w:uiPriority w:val="20"/>
    <w:qFormat/>
    <w:rsid w:val="00CE5141"/>
    <w:rPr>
      <w:b w:val="0"/>
      <w:i/>
      <w:iCs/>
      <w:color w:val="09213B" w:themeColor="text2"/>
    </w:rPr>
  </w:style>
  <w:style w:type="paragraph" w:styleId="NoSpacing">
    <w:name w:val="No Spacing"/>
    <w:link w:val="NoSpacingChar"/>
    <w:uiPriority w:val="1"/>
    <w:qFormat/>
    <w:rsid w:val="00CE5141"/>
    <w:pPr>
      <w:spacing w:after="0" w:line="240" w:lineRule="auto"/>
    </w:pPr>
  </w:style>
  <w:style w:type="paragraph" w:styleId="Quote">
    <w:name w:val="Quote"/>
    <w:basedOn w:val="Normal"/>
    <w:next w:val="Normal"/>
    <w:link w:val="QuoteChar"/>
    <w:uiPriority w:val="29"/>
    <w:qFormat/>
    <w:rsid w:val="00CE5141"/>
    <w:pPr>
      <w:pBdr>
        <w:left w:val="single" w:sz="48" w:space="13" w:color="2C7C9F" w:themeColor="accent1"/>
      </w:pBdr>
      <w:spacing w:after="0" w:line="360" w:lineRule="auto"/>
    </w:pPr>
    <w:rPr>
      <w:rFonts w:asciiTheme="majorHAnsi" w:eastAsiaTheme="minorEastAsia" w:hAnsiTheme="majorHAnsi"/>
      <w:b/>
      <w:i/>
      <w:iCs/>
      <w:color w:val="2C7C9F" w:themeColor="accent1"/>
      <w:sz w:val="24"/>
      <w:lang w:bidi="hi-IN"/>
    </w:rPr>
  </w:style>
  <w:style w:type="character" w:customStyle="1" w:styleId="QuoteChar">
    <w:name w:val="Quote Char"/>
    <w:basedOn w:val="DefaultParagraphFont"/>
    <w:link w:val="Quote"/>
    <w:uiPriority w:val="29"/>
    <w:rsid w:val="00CE5141"/>
    <w:rPr>
      <w:rFonts w:asciiTheme="majorHAnsi" w:eastAsiaTheme="minorEastAsia" w:hAnsiTheme="majorHAnsi"/>
      <w:b/>
      <w:i/>
      <w:iCs/>
      <w:color w:val="2C7C9F" w:themeColor="accent1"/>
      <w:sz w:val="24"/>
      <w:lang w:bidi="hi-IN"/>
    </w:rPr>
  </w:style>
  <w:style w:type="paragraph" w:styleId="IntenseQuote">
    <w:name w:val="Intense Quote"/>
    <w:basedOn w:val="Normal"/>
    <w:next w:val="Normal"/>
    <w:link w:val="IntenseQuoteChar"/>
    <w:uiPriority w:val="30"/>
    <w:qFormat/>
    <w:rsid w:val="00CE5141"/>
    <w:pPr>
      <w:pBdr>
        <w:left w:val="single" w:sz="48" w:space="13" w:color="244A58" w:themeColor="accent2"/>
      </w:pBdr>
      <w:spacing w:before="240" w:after="120" w:line="300" w:lineRule="auto"/>
    </w:pPr>
    <w:rPr>
      <w:rFonts w:eastAsiaTheme="minorEastAsia"/>
      <w:b/>
      <w:bCs/>
      <w:i/>
      <w:iCs/>
      <w:color w:val="244A58"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CE5141"/>
    <w:rPr>
      <w:rFonts w:eastAsiaTheme="minorEastAsia"/>
      <w:b/>
      <w:bCs/>
      <w:i/>
      <w:iCs/>
      <w:color w:val="244A58" w:themeColor="accent2"/>
      <w:sz w:val="26"/>
      <w:lang w:bidi="hi-IN"/>
      <w14:ligatures w14:val="standard"/>
      <w14:numForm w14:val="oldStyle"/>
    </w:rPr>
  </w:style>
  <w:style w:type="character" w:styleId="SubtleEmphasis">
    <w:name w:val="Subtle Emphasis"/>
    <w:basedOn w:val="DefaultParagraphFont"/>
    <w:uiPriority w:val="19"/>
    <w:qFormat/>
    <w:rsid w:val="00CE5141"/>
    <w:rPr>
      <w:i/>
      <w:iCs/>
      <w:color w:val="000000"/>
    </w:rPr>
  </w:style>
  <w:style w:type="character" w:styleId="IntenseEmphasis">
    <w:name w:val="Intense Emphasis"/>
    <w:basedOn w:val="DefaultParagraphFont"/>
    <w:uiPriority w:val="21"/>
    <w:qFormat/>
    <w:rsid w:val="00CE5141"/>
    <w:rPr>
      <w:b/>
      <w:bCs/>
      <w:i/>
      <w:iCs/>
      <w:color w:val="09213B" w:themeColor="text2"/>
    </w:rPr>
  </w:style>
  <w:style w:type="character" w:styleId="SubtleReference">
    <w:name w:val="Subtle Reference"/>
    <w:basedOn w:val="DefaultParagraphFont"/>
    <w:uiPriority w:val="31"/>
    <w:qFormat/>
    <w:rsid w:val="00CE5141"/>
    <w:rPr>
      <w:smallCaps/>
      <w:color w:val="000000"/>
      <w:u w:val="single"/>
    </w:rPr>
  </w:style>
  <w:style w:type="character" w:styleId="IntenseReference">
    <w:name w:val="Intense Reference"/>
    <w:basedOn w:val="DefaultParagraphFont"/>
    <w:uiPriority w:val="32"/>
    <w:qFormat/>
    <w:rsid w:val="00CE5141"/>
    <w:rPr>
      <w:rFonts w:asciiTheme="minorHAnsi" w:hAnsiTheme="minorHAnsi"/>
      <w:b/>
      <w:bCs/>
      <w:smallCaps/>
      <w:color w:val="09213B" w:themeColor="text2"/>
      <w:spacing w:val="5"/>
      <w:sz w:val="22"/>
      <w:u w:val="single"/>
    </w:rPr>
  </w:style>
  <w:style w:type="character" w:styleId="BookTitle">
    <w:name w:val="Book Title"/>
    <w:basedOn w:val="DefaultParagraphFont"/>
    <w:uiPriority w:val="33"/>
    <w:qFormat/>
    <w:rsid w:val="00CE5141"/>
    <w:rPr>
      <w:rFonts w:asciiTheme="majorHAnsi" w:hAnsiTheme="majorHAnsi"/>
      <w:b/>
      <w:bCs/>
      <w:caps w:val="0"/>
      <w:smallCaps/>
      <w:color w:val="09213B" w:themeColor="text2"/>
      <w:spacing w:val="10"/>
      <w:sz w:val="22"/>
    </w:rPr>
  </w:style>
  <w:style w:type="paragraph" w:styleId="TOCHeading">
    <w:name w:val="TOC Heading"/>
    <w:basedOn w:val="Heading1"/>
    <w:next w:val="Normal"/>
    <w:uiPriority w:val="39"/>
    <w:semiHidden/>
    <w:unhideWhenUsed/>
    <w:qFormat/>
    <w:rsid w:val="00CE5141"/>
    <w:pPr>
      <w:spacing w:before="480" w:line="264" w:lineRule="auto"/>
      <w:outlineLvl w:val="9"/>
    </w:pPr>
    <w:rPr>
      <w:b/>
    </w:rPr>
  </w:style>
  <w:style w:type="paragraph" w:customStyle="1" w:styleId="PersonalName">
    <w:name w:val="Personal Name"/>
    <w:basedOn w:val="Title"/>
    <w:qFormat/>
    <w:rsid w:val="00CE5141"/>
    <w:rPr>
      <w:b/>
      <w:caps/>
      <w:color w:val="000000"/>
      <w:sz w:val="28"/>
      <w:szCs w:val="28"/>
    </w:rPr>
  </w:style>
  <w:style w:type="paragraph" w:styleId="Caption">
    <w:name w:val="caption"/>
    <w:basedOn w:val="Normal"/>
    <w:next w:val="Normal"/>
    <w:uiPriority w:val="35"/>
    <w:semiHidden/>
    <w:unhideWhenUsed/>
    <w:qFormat/>
    <w:rsid w:val="00CE5141"/>
    <w:pPr>
      <w:spacing w:line="240" w:lineRule="auto"/>
    </w:pPr>
    <w:rPr>
      <w:rFonts w:eastAsiaTheme="minorEastAsia"/>
      <w:b/>
      <w:bCs/>
      <w:smallCaps/>
      <w:color w:val="09213B" w:themeColor="text2"/>
      <w:spacing w:val="6"/>
      <w:szCs w:val="18"/>
      <w:lang w:bidi="hi-IN"/>
    </w:rPr>
  </w:style>
  <w:style w:type="character" w:customStyle="1" w:styleId="NoSpacingChar">
    <w:name w:val="No Spacing Char"/>
    <w:basedOn w:val="DefaultParagraphFont"/>
    <w:link w:val="NoSpacing"/>
    <w:uiPriority w:val="1"/>
    <w:rsid w:val="00CE5141"/>
  </w:style>
  <w:style w:type="paragraph" w:styleId="FootnoteText">
    <w:name w:val="footnote text"/>
    <w:basedOn w:val="Normal"/>
    <w:link w:val="FootnoteTextChar"/>
    <w:uiPriority w:val="99"/>
    <w:unhideWhenUsed/>
    <w:rsid w:val="005C3194"/>
    <w:pPr>
      <w:spacing w:after="0" w:line="240" w:lineRule="auto"/>
    </w:pPr>
    <w:rPr>
      <w:sz w:val="20"/>
      <w:szCs w:val="20"/>
    </w:rPr>
  </w:style>
  <w:style w:type="character" w:customStyle="1" w:styleId="FootnoteTextChar">
    <w:name w:val="Footnote Text Char"/>
    <w:basedOn w:val="DefaultParagraphFont"/>
    <w:link w:val="FootnoteText"/>
    <w:uiPriority w:val="99"/>
    <w:rsid w:val="005C3194"/>
    <w:rPr>
      <w:sz w:val="20"/>
      <w:szCs w:val="20"/>
    </w:rPr>
  </w:style>
  <w:style w:type="character" w:styleId="FootnoteReference">
    <w:name w:val="footnote reference"/>
    <w:basedOn w:val="DefaultParagraphFont"/>
    <w:uiPriority w:val="99"/>
    <w:semiHidden/>
    <w:unhideWhenUsed/>
    <w:rsid w:val="005C3194"/>
    <w:rPr>
      <w:vertAlign w:val="superscript"/>
    </w:rPr>
  </w:style>
  <w:style w:type="paragraph" w:styleId="EndnoteText">
    <w:name w:val="endnote text"/>
    <w:basedOn w:val="Normal"/>
    <w:link w:val="EndnoteTextChar"/>
    <w:uiPriority w:val="99"/>
    <w:unhideWhenUsed/>
    <w:rsid w:val="005C3194"/>
    <w:pPr>
      <w:spacing w:after="0" w:line="240" w:lineRule="auto"/>
    </w:pPr>
    <w:rPr>
      <w:sz w:val="20"/>
      <w:szCs w:val="20"/>
    </w:rPr>
  </w:style>
  <w:style w:type="character" w:customStyle="1" w:styleId="EndnoteTextChar">
    <w:name w:val="Endnote Text Char"/>
    <w:basedOn w:val="DefaultParagraphFont"/>
    <w:link w:val="EndnoteText"/>
    <w:uiPriority w:val="99"/>
    <w:rsid w:val="005C3194"/>
    <w:rPr>
      <w:rFonts w:ascii="Cambria" w:hAnsi="Cambria"/>
      <w:sz w:val="20"/>
      <w:szCs w:val="20"/>
    </w:rPr>
  </w:style>
  <w:style w:type="character" w:styleId="EndnoteReference">
    <w:name w:val="endnote reference"/>
    <w:basedOn w:val="DefaultParagraphFont"/>
    <w:uiPriority w:val="99"/>
    <w:semiHidden/>
    <w:unhideWhenUsed/>
    <w:rsid w:val="005C3194"/>
    <w:rPr>
      <w:vertAlign w:val="superscript"/>
    </w:rPr>
  </w:style>
  <w:style w:type="paragraph" w:customStyle="1" w:styleId="EndNoteBibliography">
    <w:name w:val="EndNote Bibliography"/>
    <w:basedOn w:val="Normal"/>
    <w:rsid w:val="005C3194"/>
    <w:pPr>
      <w:pBdr>
        <w:top w:val="nil"/>
        <w:left w:val="nil"/>
        <w:bottom w:val="nil"/>
        <w:right w:val="nil"/>
        <w:between w:val="nil"/>
        <w:bar w:val="nil"/>
      </w:pBdr>
      <w:spacing w:after="0" w:line="240" w:lineRule="auto"/>
      <w:jc w:val="left"/>
    </w:pPr>
    <w:rPr>
      <w:rFonts w:ascii="Times Roman" w:eastAsia="Arial Unicode MS" w:hAnsi="Times Roman" w:cs="Times New Roman"/>
      <w:sz w:val="24"/>
      <w:szCs w:val="24"/>
      <w:bdr w:val="nil"/>
      <w:lang w:val="en-US"/>
    </w:rPr>
  </w:style>
  <w:style w:type="table" w:styleId="TableGrid">
    <w:name w:val="Table Grid"/>
    <w:basedOn w:val="TableNormal"/>
    <w:uiPriority w:val="59"/>
    <w:rsid w:val="001A79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3246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StyleRowBandSize w:val="1"/>
      <w:tblStyleColBandSize w:val="1"/>
      <w:tblBorders>
        <w:top w:val="single" w:sz="8" w:space="0" w:color="2C7C9F" w:themeColor="accent1"/>
        <w:left w:val="single" w:sz="8" w:space="0" w:color="2C7C9F" w:themeColor="accent1"/>
        <w:bottom w:val="single" w:sz="8" w:space="0" w:color="2C7C9F" w:themeColor="accent1"/>
        <w:right w:val="single" w:sz="8" w:space="0" w:color="2C7C9F" w:themeColor="accent1"/>
      </w:tblBorders>
    </w:tblPr>
    <w:tblStylePr w:type="firstRow">
      <w:pPr>
        <w:spacing w:before="0" w:after="0" w:line="240" w:lineRule="auto"/>
      </w:pPr>
      <w:rPr>
        <w:b/>
        <w:bCs/>
        <w:color w:val="FFFFFF" w:themeColor="background1"/>
      </w:rPr>
      <w:tblPr/>
      <w:tcPr>
        <w:shd w:val="clear" w:color="auto" w:fill="2C7C9F" w:themeFill="accent1"/>
      </w:tcPr>
    </w:tblStylePr>
    <w:tblStylePr w:type="lastRow">
      <w:pPr>
        <w:spacing w:before="0" w:after="0" w:line="240" w:lineRule="auto"/>
      </w:pPr>
      <w:rPr>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tcBorders>
      </w:tcPr>
    </w:tblStylePr>
    <w:tblStylePr w:type="firstCol">
      <w:rPr>
        <w:b/>
        <w:bCs/>
      </w:rPr>
    </w:tblStylePr>
    <w:tblStylePr w:type="lastCol">
      <w:rPr>
        <w:b/>
        <w:bCs/>
      </w:r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style>
  <w:style w:type="character" w:styleId="CommentReference">
    <w:name w:val="annotation reference"/>
    <w:basedOn w:val="DefaultParagraphFont"/>
    <w:uiPriority w:val="99"/>
    <w:semiHidden/>
    <w:unhideWhenUsed/>
    <w:rsid w:val="008C2C14"/>
    <w:rPr>
      <w:sz w:val="16"/>
      <w:szCs w:val="16"/>
    </w:rPr>
  </w:style>
  <w:style w:type="paragraph" w:styleId="CommentText">
    <w:name w:val="annotation text"/>
    <w:basedOn w:val="Normal"/>
    <w:link w:val="CommentTextChar"/>
    <w:uiPriority w:val="99"/>
    <w:semiHidden/>
    <w:unhideWhenUsed/>
    <w:rsid w:val="008C2C14"/>
    <w:pPr>
      <w:spacing w:line="240" w:lineRule="auto"/>
    </w:pPr>
    <w:rPr>
      <w:sz w:val="20"/>
      <w:szCs w:val="20"/>
    </w:rPr>
  </w:style>
  <w:style w:type="character" w:customStyle="1" w:styleId="CommentTextChar">
    <w:name w:val="Comment Text Char"/>
    <w:basedOn w:val="DefaultParagraphFont"/>
    <w:link w:val="CommentText"/>
    <w:uiPriority w:val="99"/>
    <w:semiHidden/>
    <w:rsid w:val="008C2C1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C2C14"/>
    <w:rPr>
      <w:b/>
      <w:bCs/>
    </w:rPr>
  </w:style>
  <w:style w:type="character" w:customStyle="1" w:styleId="CommentSubjectChar">
    <w:name w:val="Comment Subject Char"/>
    <w:basedOn w:val="CommentTextChar"/>
    <w:link w:val="CommentSubject"/>
    <w:uiPriority w:val="99"/>
    <w:semiHidden/>
    <w:rsid w:val="008C2C14"/>
    <w:rPr>
      <w:rFonts w:ascii="Cambria" w:hAnsi="Cambria"/>
      <w:b/>
      <w:bCs/>
      <w:sz w:val="20"/>
      <w:szCs w:val="20"/>
    </w:rPr>
  </w:style>
  <w:style w:type="table" w:styleId="LightGrid-Accent6">
    <w:name w:val="Light Grid Accent 6"/>
    <w:basedOn w:val="TableNormal"/>
    <w:uiPriority w:val="62"/>
    <w:rsid w:val="003836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LightGrid-Accent3">
    <w:name w:val="Light Grid Accent 3"/>
    <w:basedOn w:val="TableNormal"/>
    <w:uiPriority w:val="62"/>
    <w:rsid w:val="005F20A2"/>
    <w:pPr>
      <w:spacing w:after="0" w:line="240" w:lineRule="auto"/>
    </w:pPr>
    <w:tblPr>
      <w:tblStyleRowBandSize w:val="1"/>
      <w:tblStyleColBandSize w:val="1"/>
      <w:tblBorders>
        <w:top w:val="single" w:sz="8" w:space="0" w:color="E2751D" w:themeColor="accent3"/>
        <w:left w:val="single" w:sz="8" w:space="0" w:color="E2751D" w:themeColor="accent3"/>
        <w:bottom w:val="single" w:sz="8" w:space="0" w:color="E2751D" w:themeColor="accent3"/>
        <w:right w:val="single" w:sz="8" w:space="0" w:color="E2751D" w:themeColor="accent3"/>
        <w:insideH w:val="single" w:sz="8" w:space="0" w:color="E2751D" w:themeColor="accent3"/>
        <w:insideV w:val="single" w:sz="8" w:space="0" w:color="E2751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751D" w:themeColor="accent3"/>
          <w:left w:val="single" w:sz="8" w:space="0" w:color="E2751D" w:themeColor="accent3"/>
          <w:bottom w:val="single" w:sz="18" w:space="0" w:color="E2751D" w:themeColor="accent3"/>
          <w:right w:val="single" w:sz="8" w:space="0" w:color="E2751D" w:themeColor="accent3"/>
          <w:insideH w:val="nil"/>
          <w:insideV w:val="single" w:sz="8" w:space="0" w:color="E275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751D" w:themeColor="accent3"/>
          <w:left w:val="single" w:sz="8" w:space="0" w:color="E2751D" w:themeColor="accent3"/>
          <w:bottom w:val="single" w:sz="8" w:space="0" w:color="E2751D" w:themeColor="accent3"/>
          <w:right w:val="single" w:sz="8" w:space="0" w:color="E2751D" w:themeColor="accent3"/>
          <w:insideH w:val="nil"/>
          <w:insideV w:val="single" w:sz="8" w:space="0" w:color="E275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751D" w:themeColor="accent3"/>
          <w:left w:val="single" w:sz="8" w:space="0" w:color="E2751D" w:themeColor="accent3"/>
          <w:bottom w:val="single" w:sz="8" w:space="0" w:color="E2751D" w:themeColor="accent3"/>
          <w:right w:val="single" w:sz="8" w:space="0" w:color="E2751D" w:themeColor="accent3"/>
        </w:tcBorders>
      </w:tcPr>
    </w:tblStylePr>
    <w:tblStylePr w:type="band1Vert">
      <w:tblPr/>
      <w:tcPr>
        <w:tcBorders>
          <w:top w:val="single" w:sz="8" w:space="0" w:color="E2751D" w:themeColor="accent3"/>
          <w:left w:val="single" w:sz="8" w:space="0" w:color="E2751D" w:themeColor="accent3"/>
          <w:bottom w:val="single" w:sz="8" w:space="0" w:color="E2751D" w:themeColor="accent3"/>
          <w:right w:val="single" w:sz="8" w:space="0" w:color="E2751D" w:themeColor="accent3"/>
        </w:tcBorders>
        <w:shd w:val="clear" w:color="auto" w:fill="F8DCC7" w:themeFill="accent3" w:themeFillTint="3F"/>
      </w:tcPr>
    </w:tblStylePr>
    <w:tblStylePr w:type="band1Horz">
      <w:tblPr/>
      <w:tcPr>
        <w:tcBorders>
          <w:top w:val="single" w:sz="8" w:space="0" w:color="E2751D" w:themeColor="accent3"/>
          <w:left w:val="single" w:sz="8" w:space="0" w:color="E2751D" w:themeColor="accent3"/>
          <w:bottom w:val="single" w:sz="8" w:space="0" w:color="E2751D" w:themeColor="accent3"/>
          <w:right w:val="single" w:sz="8" w:space="0" w:color="E2751D" w:themeColor="accent3"/>
          <w:insideV w:val="single" w:sz="8" w:space="0" w:color="E2751D" w:themeColor="accent3"/>
        </w:tcBorders>
        <w:shd w:val="clear" w:color="auto" w:fill="F8DCC7" w:themeFill="accent3" w:themeFillTint="3F"/>
      </w:tcPr>
    </w:tblStylePr>
    <w:tblStylePr w:type="band2Horz">
      <w:tblPr/>
      <w:tcPr>
        <w:tcBorders>
          <w:top w:val="single" w:sz="8" w:space="0" w:color="E2751D" w:themeColor="accent3"/>
          <w:left w:val="single" w:sz="8" w:space="0" w:color="E2751D" w:themeColor="accent3"/>
          <w:bottom w:val="single" w:sz="8" w:space="0" w:color="E2751D" w:themeColor="accent3"/>
          <w:right w:val="single" w:sz="8" w:space="0" w:color="E2751D" w:themeColor="accent3"/>
          <w:insideV w:val="single" w:sz="8" w:space="0" w:color="E2751D" w:themeColor="accent3"/>
        </w:tcBorders>
      </w:tcPr>
    </w:tblStylePr>
  </w:style>
  <w:style w:type="paragraph" w:customStyle="1" w:styleId="Default">
    <w:name w:val="Default"/>
    <w:rsid w:val="002E3EF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table" w:styleId="LightGrid-Accent5">
    <w:name w:val="Light Grid Accent 5"/>
    <w:basedOn w:val="TableNormal"/>
    <w:uiPriority w:val="62"/>
    <w:rsid w:val="006910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B606" w:themeColor="accent5"/>
          <w:left w:val="single" w:sz="8" w:space="0" w:color="7EB606" w:themeColor="accent5"/>
          <w:bottom w:val="single" w:sz="18" w:space="0" w:color="7EB606" w:themeColor="accent5"/>
          <w:right w:val="single" w:sz="8" w:space="0" w:color="7EB606" w:themeColor="accent5"/>
          <w:insideH w:val="nil"/>
          <w:insideV w:val="single" w:sz="8" w:space="0" w:color="7EB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insideH w:val="nil"/>
          <w:insideV w:val="single" w:sz="8" w:space="0" w:color="7EB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shd w:val="clear" w:color="auto" w:fill="E4FCB1" w:themeFill="accent5" w:themeFillTint="3F"/>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insideV w:val="single" w:sz="8" w:space="0" w:color="7EB606" w:themeColor="accent5"/>
        </w:tcBorders>
        <w:shd w:val="clear" w:color="auto" w:fill="E4FCB1" w:themeFill="accent5" w:themeFillTint="3F"/>
      </w:tcPr>
    </w:tblStylePr>
    <w:tblStylePr w:type="band2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insideV w:val="single" w:sz="8" w:space="0" w:color="7EB60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4132">
      <w:bodyDiv w:val="1"/>
      <w:marLeft w:val="0"/>
      <w:marRight w:val="0"/>
      <w:marTop w:val="0"/>
      <w:marBottom w:val="0"/>
      <w:divBdr>
        <w:top w:val="none" w:sz="0" w:space="0" w:color="auto"/>
        <w:left w:val="none" w:sz="0" w:space="0" w:color="auto"/>
        <w:bottom w:val="none" w:sz="0" w:space="0" w:color="auto"/>
        <w:right w:val="none" w:sz="0" w:space="0" w:color="auto"/>
      </w:divBdr>
    </w:div>
    <w:div w:id="1937785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who.int/water_sanitation_health/dwq/WSP/en/"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2CAF8-6975-4FE8-B614-16233D900EB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A2339490-91CE-45DC-A80F-704705EB7678}">
      <dgm:prSet phldrT="[Text]"/>
      <dgm:spPr/>
      <dgm:t>
        <a:bodyPr/>
        <a:lstStyle/>
        <a:p>
          <a:r>
            <a:rPr lang="en-GB"/>
            <a:t>A basic level of service is maintained</a:t>
          </a:r>
        </a:p>
      </dgm:t>
    </dgm:pt>
    <dgm:pt modelId="{6A673CEF-F8EF-4A36-9265-CFD1A4EDEA26}" type="parTrans" cxnId="{870F9798-92D0-4282-9772-6DD790109BEA}">
      <dgm:prSet/>
      <dgm:spPr/>
      <dgm:t>
        <a:bodyPr/>
        <a:lstStyle/>
        <a:p>
          <a:endParaRPr lang="en-GB"/>
        </a:p>
      </dgm:t>
    </dgm:pt>
    <dgm:pt modelId="{ABE7A1F0-3ECB-43E6-8678-A9D08FE97A1A}" type="sibTrans" cxnId="{870F9798-92D0-4282-9772-6DD790109BEA}">
      <dgm:prSet/>
      <dgm:spPr/>
      <dgm:t>
        <a:bodyPr/>
        <a:lstStyle/>
        <a:p>
          <a:endParaRPr lang="en-GB"/>
        </a:p>
      </dgm:t>
    </dgm:pt>
    <dgm:pt modelId="{76487547-B8E1-4D4C-8905-BECE5D56E985}">
      <dgm:prSet phldrT="[Text]"/>
      <dgm:spPr/>
      <dgm:t>
        <a:bodyPr/>
        <a:lstStyle/>
        <a:p>
          <a:r>
            <a:rPr lang="en-GB"/>
            <a:t>Consumers are willing to pay for the service</a:t>
          </a:r>
        </a:p>
      </dgm:t>
    </dgm:pt>
    <dgm:pt modelId="{14F44AA8-5CF4-4DC5-955E-9F27A5B1CEAD}" type="parTrans" cxnId="{E68FA9B1-A467-4AA1-91D0-88487B17E7B6}">
      <dgm:prSet/>
      <dgm:spPr/>
      <dgm:t>
        <a:bodyPr/>
        <a:lstStyle/>
        <a:p>
          <a:endParaRPr lang="en-GB"/>
        </a:p>
      </dgm:t>
    </dgm:pt>
    <dgm:pt modelId="{F67E7186-8931-440E-9AA0-93EE392945F9}" type="sibTrans" cxnId="{E68FA9B1-A467-4AA1-91D0-88487B17E7B6}">
      <dgm:prSet/>
      <dgm:spPr/>
      <dgm:t>
        <a:bodyPr/>
        <a:lstStyle/>
        <a:p>
          <a:endParaRPr lang="en-GB"/>
        </a:p>
      </dgm:t>
    </dgm:pt>
    <dgm:pt modelId="{7861BB01-5AD4-469A-A05A-2EBD76973B64}">
      <dgm:prSet phldrT="[Text]"/>
      <dgm:spPr/>
      <dgm:t>
        <a:bodyPr/>
        <a:lstStyle/>
        <a:p>
          <a:r>
            <a:rPr lang="en-GB"/>
            <a:t>Revenue is raised for O&amp;M</a:t>
          </a:r>
        </a:p>
      </dgm:t>
    </dgm:pt>
    <dgm:pt modelId="{EA737965-E149-4629-A0EF-640E6DC88C73}" type="parTrans" cxnId="{00198546-66CE-44A1-9588-C08DEB8CEE9C}">
      <dgm:prSet/>
      <dgm:spPr/>
      <dgm:t>
        <a:bodyPr/>
        <a:lstStyle/>
        <a:p>
          <a:endParaRPr lang="en-GB"/>
        </a:p>
      </dgm:t>
    </dgm:pt>
    <dgm:pt modelId="{65C31A72-89EC-4502-9267-1C95FDA7F0F7}" type="sibTrans" cxnId="{00198546-66CE-44A1-9588-C08DEB8CEE9C}">
      <dgm:prSet/>
      <dgm:spPr/>
      <dgm:t>
        <a:bodyPr/>
        <a:lstStyle/>
        <a:p>
          <a:endParaRPr lang="en-GB"/>
        </a:p>
      </dgm:t>
    </dgm:pt>
    <dgm:pt modelId="{AC6940B0-B89B-4C7A-B582-5E882354C834}">
      <dgm:prSet phldrT="[Text]"/>
      <dgm:spPr/>
      <dgm:t>
        <a:bodyPr/>
        <a:lstStyle/>
        <a:p>
          <a:r>
            <a:rPr lang="en-GB"/>
            <a:t>Life cycle costs are covered</a:t>
          </a:r>
        </a:p>
      </dgm:t>
    </dgm:pt>
    <dgm:pt modelId="{F12F89A9-E8D2-46BB-AE89-369AC2DE67A3}" type="parTrans" cxnId="{7E93CB5A-0632-47A2-9896-50A2E70E5D74}">
      <dgm:prSet/>
      <dgm:spPr/>
      <dgm:t>
        <a:bodyPr/>
        <a:lstStyle/>
        <a:p>
          <a:endParaRPr lang="en-GB"/>
        </a:p>
      </dgm:t>
    </dgm:pt>
    <dgm:pt modelId="{83ECBD79-6628-46FD-9EE8-98FD22FAE006}" type="sibTrans" cxnId="{7E93CB5A-0632-47A2-9896-50A2E70E5D74}">
      <dgm:prSet/>
      <dgm:spPr/>
      <dgm:t>
        <a:bodyPr/>
        <a:lstStyle/>
        <a:p>
          <a:endParaRPr lang="en-GB"/>
        </a:p>
      </dgm:t>
    </dgm:pt>
    <dgm:pt modelId="{3E91D707-93EE-4618-9C83-40E52E451F54}" type="pres">
      <dgm:prSet presAssocID="{5472CAF8-6975-4FE8-B614-16233D900EB9}" presName="cycle" presStyleCnt="0">
        <dgm:presLayoutVars>
          <dgm:dir/>
          <dgm:resizeHandles val="exact"/>
        </dgm:presLayoutVars>
      </dgm:prSet>
      <dgm:spPr/>
      <dgm:t>
        <a:bodyPr/>
        <a:lstStyle/>
        <a:p>
          <a:endParaRPr lang="en-GB"/>
        </a:p>
      </dgm:t>
    </dgm:pt>
    <dgm:pt modelId="{C2CFD03E-0C0A-4C71-AC5C-4C077330AA16}" type="pres">
      <dgm:prSet presAssocID="{A2339490-91CE-45DC-A80F-704705EB7678}" presName="node" presStyleLbl="node1" presStyleIdx="0" presStyleCnt="4">
        <dgm:presLayoutVars>
          <dgm:bulletEnabled val="1"/>
        </dgm:presLayoutVars>
      </dgm:prSet>
      <dgm:spPr/>
      <dgm:t>
        <a:bodyPr/>
        <a:lstStyle/>
        <a:p>
          <a:endParaRPr lang="en-GB"/>
        </a:p>
      </dgm:t>
    </dgm:pt>
    <dgm:pt modelId="{F32F5E5E-33B0-4212-B62B-89FF5EBCB5BB}" type="pres">
      <dgm:prSet presAssocID="{A2339490-91CE-45DC-A80F-704705EB7678}" presName="spNode" presStyleCnt="0"/>
      <dgm:spPr/>
    </dgm:pt>
    <dgm:pt modelId="{9B3EB863-A6B9-48C5-9FE4-F3A56F1CB4D4}" type="pres">
      <dgm:prSet presAssocID="{ABE7A1F0-3ECB-43E6-8678-A9D08FE97A1A}" presName="sibTrans" presStyleLbl="sibTrans1D1" presStyleIdx="0" presStyleCnt="4"/>
      <dgm:spPr/>
      <dgm:t>
        <a:bodyPr/>
        <a:lstStyle/>
        <a:p>
          <a:endParaRPr lang="en-GB"/>
        </a:p>
      </dgm:t>
    </dgm:pt>
    <dgm:pt modelId="{49574090-A379-4F3B-ACEA-F000B54BE1CA}" type="pres">
      <dgm:prSet presAssocID="{76487547-B8E1-4D4C-8905-BECE5D56E985}" presName="node" presStyleLbl="node1" presStyleIdx="1" presStyleCnt="4">
        <dgm:presLayoutVars>
          <dgm:bulletEnabled val="1"/>
        </dgm:presLayoutVars>
      </dgm:prSet>
      <dgm:spPr/>
      <dgm:t>
        <a:bodyPr/>
        <a:lstStyle/>
        <a:p>
          <a:endParaRPr lang="en-GB"/>
        </a:p>
      </dgm:t>
    </dgm:pt>
    <dgm:pt modelId="{3763F76E-4826-49E5-844F-784E205DB2E8}" type="pres">
      <dgm:prSet presAssocID="{76487547-B8E1-4D4C-8905-BECE5D56E985}" presName="spNode" presStyleCnt="0"/>
      <dgm:spPr/>
    </dgm:pt>
    <dgm:pt modelId="{8FA541F0-CA26-4DA7-B3E9-3B6B33F29043}" type="pres">
      <dgm:prSet presAssocID="{F67E7186-8931-440E-9AA0-93EE392945F9}" presName="sibTrans" presStyleLbl="sibTrans1D1" presStyleIdx="1" presStyleCnt="4"/>
      <dgm:spPr/>
      <dgm:t>
        <a:bodyPr/>
        <a:lstStyle/>
        <a:p>
          <a:endParaRPr lang="en-GB"/>
        </a:p>
      </dgm:t>
    </dgm:pt>
    <dgm:pt modelId="{5553670A-1A1D-49BA-9146-3D326E6CE82E}" type="pres">
      <dgm:prSet presAssocID="{7861BB01-5AD4-469A-A05A-2EBD76973B64}" presName="node" presStyleLbl="node1" presStyleIdx="2" presStyleCnt="4">
        <dgm:presLayoutVars>
          <dgm:bulletEnabled val="1"/>
        </dgm:presLayoutVars>
      </dgm:prSet>
      <dgm:spPr/>
      <dgm:t>
        <a:bodyPr/>
        <a:lstStyle/>
        <a:p>
          <a:endParaRPr lang="en-GB"/>
        </a:p>
      </dgm:t>
    </dgm:pt>
    <dgm:pt modelId="{21476999-05C9-416D-9791-FD86A20EA7F6}" type="pres">
      <dgm:prSet presAssocID="{7861BB01-5AD4-469A-A05A-2EBD76973B64}" presName="spNode" presStyleCnt="0"/>
      <dgm:spPr/>
    </dgm:pt>
    <dgm:pt modelId="{D3340A7F-DA93-4817-8EA5-7278DE3EAD10}" type="pres">
      <dgm:prSet presAssocID="{65C31A72-89EC-4502-9267-1C95FDA7F0F7}" presName="sibTrans" presStyleLbl="sibTrans1D1" presStyleIdx="2" presStyleCnt="4"/>
      <dgm:spPr/>
      <dgm:t>
        <a:bodyPr/>
        <a:lstStyle/>
        <a:p>
          <a:endParaRPr lang="en-GB"/>
        </a:p>
      </dgm:t>
    </dgm:pt>
    <dgm:pt modelId="{F55363E4-DBD0-4558-A3F9-5C26B3BDBFD1}" type="pres">
      <dgm:prSet presAssocID="{AC6940B0-B89B-4C7A-B582-5E882354C834}" presName="node" presStyleLbl="node1" presStyleIdx="3" presStyleCnt="4">
        <dgm:presLayoutVars>
          <dgm:bulletEnabled val="1"/>
        </dgm:presLayoutVars>
      </dgm:prSet>
      <dgm:spPr/>
      <dgm:t>
        <a:bodyPr/>
        <a:lstStyle/>
        <a:p>
          <a:endParaRPr lang="en-GB"/>
        </a:p>
      </dgm:t>
    </dgm:pt>
    <dgm:pt modelId="{72F5475A-BE43-4463-BCF0-5931031D0EDE}" type="pres">
      <dgm:prSet presAssocID="{AC6940B0-B89B-4C7A-B582-5E882354C834}" presName="spNode" presStyleCnt="0"/>
      <dgm:spPr/>
    </dgm:pt>
    <dgm:pt modelId="{3C17EA35-9899-44E0-A871-B282F2D2BE64}" type="pres">
      <dgm:prSet presAssocID="{83ECBD79-6628-46FD-9EE8-98FD22FAE006}" presName="sibTrans" presStyleLbl="sibTrans1D1" presStyleIdx="3" presStyleCnt="4"/>
      <dgm:spPr/>
      <dgm:t>
        <a:bodyPr/>
        <a:lstStyle/>
        <a:p>
          <a:endParaRPr lang="en-GB"/>
        </a:p>
      </dgm:t>
    </dgm:pt>
  </dgm:ptLst>
  <dgm:cxnLst>
    <dgm:cxn modelId="{FA6E3626-5304-4D37-AA49-B2BE0C89A89B}" type="presOf" srcId="{76487547-B8E1-4D4C-8905-BECE5D56E985}" destId="{49574090-A379-4F3B-ACEA-F000B54BE1CA}" srcOrd="0" destOrd="0" presId="urn:microsoft.com/office/officeart/2005/8/layout/cycle5"/>
    <dgm:cxn modelId="{92D04BC3-5072-4541-8C03-EC2B9E4D351F}" type="presOf" srcId="{7861BB01-5AD4-469A-A05A-2EBD76973B64}" destId="{5553670A-1A1D-49BA-9146-3D326E6CE82E}" srcOrd="0" destOrd="0" presId="urn:microsoft.com/office/officeart/2005/8/layout/cycle5"/>
    <dgm:cxn modelId="{EAE85EC7-5DA6-4CB7-94B6-B473D273B2B2}" type="presOf" srcId="{65C31A72-89EC-4502-9267-1C95FDA7F0F7}" destId="{D3340A7F-DA93-4817-8EA5-7278DE3EAD10}" srcOrd="0" destOrd="0" presId="urn:microsoft.com/office/officeart/2005/8/layout/cycle5"/>
    <dgm:cxn modelId="{7042FE57-64FE-4F6C-B6C5-B927D7C0894F}" type="presOf" srcId="{A2339490-91CE-45DC-A80F-704705EB7678}" destId="{C2CFD03E-0C0A-4C71-AC5C-4C077330AA16}" srcOrd="0" destOrd="0" presId="urn:microsoft.com/office/officeart/2005/8/layout/cycle5"/>
    <dgm:cxn modelId="{CC9EC32D-8353-4C73-9C2B-AEAFD26C94E9}" type="presOf" srcId="{5472CAF8-6975-4FE8-B614-16233D900EB9}" destId="{3E91D707-93EE-4618-9C83-40E52E451F54}" srcOrd="0" destOrd="0" presId="urn:microsoft.com/office/officeart/2005/8/layout/cycle5"/>
    <dgm:cxn modelId="{A060BCBA-06EE-4B88-BF11-817FD61E1B30}" type="presOf" srcId="{F67E7186-8931-440E-9AA0-93EE392945F9}" destId="{8FA541F0-CA26-4DA7-B3E9-3B6B33F29043}" srcOrd="0" destOrd="0" presId="urn:microsoft.com/office/officeart/2005/8/layout/cycle5"/>
    <dgm:cxn modelId="{6C18DEA9-1822-41B2-BA19-76CCBC91CA79}" type="presOf" srcId="{AC6940B0-B89B-4C7A-B582-5E882354C834}" destId="{F55363E4-DBD0-4558-A3F9-5C26B3BDBFD1}" srcOrd="0" destOrd="0" presId="urn:microsoft.com/office/officeart/2005/8/layout/cycle5"/>
    <dgm:cxn modelId="{00198546-66CE-44A1-9588-C08DEB8CEE9C}" srcId="{5472CAF8-6975-4FE8-B614-16233D900EB9}" destId="{7861BB01-5AD4-469A-A05A-2EBD76973B64}" srcOrd="2" destOrd="0" parTransId="{EA737965-E149-4629-A0EF-640E6DC88C73}" sibTransId="{65C31A72-89EC-4502-9267-1C95FDA7F0F7}"/>
    <dgm:cxn modelId="{E68FA9B1-A467-4AA1-91D0-88487B17E7B6}" srcId="{5472CAF8-6975-4FE8-B614-16233D900EB9}" destId="{76487547-B8E1-4D4C-8905-BECE5D56E985}" srcOrd="1" destOrd="0" parTransId="{14F44AA8-5CF4-4DC5-955E-9F27A5B1CEAD}" sibTransId="{F67E7186-8931-440E-9AA0-93EE392945F9}"/>
    <dgm:cxn modelId="{870F9798-92D0-4282-9772-6DD790109BEA}" srcId="{5472CAF8-6975-4FE8-B614-16233D900EB9}" destId="{A2339490-91CE-45DC-A80F-704705EB7678}" srcOrd="0" destOrd="0" parTransId="{6A673CEF-F8EF-4A36-9265-CFD1A4EDEA26}" sibTransId="{ABE7A1F0-3ECB-43E6-8678-A9D08FE97A1A}"/>
    <dgm:cxn modelId="{F07BD1F8-5671-47C6-B50E-D42453CAA1BC}" type="presOf" srcId="{ABE7A1F0-3ECB-43E6-8678-A9D08FE97A1A}" destId="{9B3EB863-A6B9-48C5-9FE4-F3A56F1CB4D4}" srcOrd="0" destOrd="0" presId="urn:microsoft.com/office/officeart/2005/8/layout/cycle5"/>
    <dgm:cxn modelId="{7E93CB5A-0632-47A2-9896-50A2E70E5D74}" srcId="{5472CAF8-6975-4FE8-B614-16233D900EB9}" destId="{AC6940B0-B89B-4C7A-B582-5E882354C834}" srcOrd="3" destOrd="0" parTransId="{F12F89A9-E8D2-46BB-AE89-369AC2DE67A3}" sibTransId="{83ECBD79-6628-46FD-9EE8-98FD22FAE006}"/>
    <dgm:cxn modelId="{02D39BA8-AB1F-4D7A-BAD6-EDD5881AC5BA}" type="presOf" srcId="{83ECBD79-6628-46FD-9EE8-98FD22FAE006}" destId="{3C17EA35-9899-44E0-A871-B282F2D2BE64}" srcOrd="0" destOrd="0" presId="urn:microsoft.com/office/officeart/2005/8/layout/cycle5"/>
    <dgm:cxn modelId="{D91692E7-E82C-49C3-8980-BE53022012CD}" type="presParOf" srcId="{3E91D707-93EE-4618-9C83-40E52E451F54}" destId="{C2CFD03E-0C0A-4C71-AC5C-4C077330AA16}" srcOrd="0" destOrd="0" presId="urn:microsoft.com/office/officeart/2005/8/layout/cycle5"/>
    <dgm:cxn modelId="{EF16FBF5-966C-46EB-9D7C-0A52A8DB5B2D}" type="presParOf" srcId="{3E91D707-93EE-4618-9C83-40E52E451F54}" destId="{F32F5E5E-33B0-4212-B62B-89FF5EBCB5BB}" srcOrd="1" destOrd="0" presId="urn:microsoft.com/office/officeart/2005/8/layout/cycle5"/>
    <dgm:cxn modelId="{DBF99108-ABE6-4B68-86B9-877E5B5967CC}" type="presParOf" srcId="{3E91D707-93EE-4618-9C83-40E52E451F54}" destId="{9B3EB863-A6B9-48C5-9FE4-F3A56F1CB4D4}" srcOrd="2" destOrd="0" presId="urn:microsoft.com/office/officeart/2005/8/layout/cycle5"/>
    <dgm:cxn modelId="{1100B9AA-75A5-4830-80D6-90C069BDA56D}" type="presParOf" srcId="{3E91D707-93EE-4618-9C83-40E52E451F54}" destId="{49574090-A379-4F3B-ACEA-F000B54BE1CA}" srcOrd="3" destOrd="0" presId="urn:microsoft.com/office/officeart/2005/8/layout/cycle5"/>
    <dgm:cxn modelId="{6731DD0B-0C15-4FC7-B563-0ADB185751B9}" type="presParOf" srcId="{3E91D707-93EE-4618-9C83-40E52E451F54}" destId="{3763F76E-4826-49E5-844F-784E205DB2E8}" srcOrd="4" destOrd="0" presId="urn:microsoft.com/office/officeart/2005/8/layout/cycle5"/>
    <dgm:cxn modelId="{BF10BFF7-4EF4-425A-BCAF-6BC30CE53D48}" type="presParOf" srcId="{3E91D707-93EE-4618-9C83-40E52E451F54}" destId="{8FA541F0-CA26-4DA7-B3E9-3B6B33F29043}" srcOrd="5" destOrd="0" presId="urn:microsoft.com/office/officeart/2005/8/layout/cycle5"/>
    <dgm:cxn modelId="{ABA4745A-C1C2-492F-874B-29F6C1E7391C}" type="presParOf" srcId="{3E91D707-93EE-4618-9C83-40E52E451F54}" destId="{5553670A-1A1D-49BA-9146-3D326E6CE82E}" srcOrd="6" destOrd="0" presId="urn:microsoft.com/office/officeart/2005/8/layout/cycle5"/>
    <dgm:cxn modelId="{6C2A4CD9-0E27-4C84-92E3-3FE251AC0DA4}" type="presParOf" srcId="{3E91D707-93EE-4618-9C83-40E52E451F54}" destId="{21476999-05C9-416D-9791-FD86A20EA7F6}" srcOrd="7" destOrd="0" presId="urn:microsoft.com/office/officeart/2005/8/layout/cycle5"/>
    <dgm:cxn modelId="{E8B47F8E-14BB-4E73-A5A5-A708C307774A}" type="presParOf" srcId="{3E91D707-93EE-4618-9C83-40E52E451F54}" destId="{D3340A7F-DA93-4817-8EA5-7278DE3EAD10}" srcOrd="8" destOrd="0" presId="urn:microsoft.com/office/officeart/2005/8/layout/cycle5"/>
    <dgm:cxn modelId="{6E8813EC-27FF-44CD-9B76-9A84ABE6F974}" type="presParOf" srcId="{3E91D707-93EE-4618-9C83-40E52E451F54}" destId="{F55363E4-DBD0-4558-A3F9-5C26B3BDBFD1}" srcOrd="9" destOrd="0" presId="urn:microsoft.com/office/officeart/2005/8/layout/cycle5"/>
    <dgm:cxn modelId="{E162CFB5-7BE4-4EDE-BE77-382CD2474AB3}" type="presParOf" srcId="{3E91D707-93EE-4618-9C83-40E52E451F54}" destId="{72F5475A-BE43-4463-BCF0-5931031D0EDE}" srcOrd="10" destOrd="0" presId="urn:microsoft.com/office/officeart/2005/8/layout/cycle5"/>
    <dgm:cxn modelId="{711D18BC-846A-4FF9-B11F-83F9E71F8C2B}" type="presParOf" srcId="{3E91D707-93EE-4618-9C83-40E52E451F54}" destId="{3C17EA35-9899-44E0-A871-B282F2D2BE64}" srcOrd="11"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B269E9-5C7A-FF46-9F73-22192D2101F0}" type="doc">
      <dgm:prSet loTypeId="urn:microsoft.com/office/officeart/2008/layout/LinedList" loCatId="" qsTypeId="urn:microsoft.com/office/officeart/2005/8/quickstyle/simple4" qsCatId="simple" csTypeId="urn:microsoft.com/office/officeart/2005/8/colors/accent1_2" csCatId="accent1" phldr="1"/>
      <dgm:spPr/>
      <dgm:t>
        <a:bodyPr/>
        <a:lstStyle/>
        <a:p>
          <a:endParaRPr lang="en-US"/>
        </a:p>
      </dgm:t>
    </dgm:pt>
    <dgm:pt modelId="{23CB1EFC-1689-D848-AA9A-EF00803053E4}">
      <dgm:prSet phldrT="[Text]" custT="1"/>
      <dgm:spPr/>
      <dgm:t>
        <a:bodyPr/>
        <a:lstStyle/>
        <a:p>
          <a:r>
            <a:rPr lang="en-US" sz="1600">
              <a:latin typeface="Cambria" pitchFamily="18" charset="0"/>
            </a:rPr>
            <a:t>Roles</a:t>
          </a:r>
        </a:p>
      </dgm:t>
    </dgm:pt>
    <dgm:pt modelId="{07F14A7E-7D1D-0142-956F-1B449F32DEC1}" type="parTrans" cxnId="{FF45B55C-1966-0C40-A382-C94FBD00B2D0}">
      <dgm:prSet/>
      <dgm:spPr/>
      <dgm:t>
        <a:bodyPr/>
        <a:lstStyle/>
        <a:p>
          <a:endParaRPr lang="en-US"/>
        </a:p>
      </dgm:t>
    </dgm:pt>
    <dgm:pt modelId="{66173322-DB23-AE44-942F-7C8CAC08F767}" type="sibTrans" cxnId="{FF45B55C-1966-0C40-A382-C94FBD00B2D0}">
      <dgm:prSet/>
      <dgm:spPr/>
      <dgm:t>
        <a:bodyPr/>
        <a:lstStyle/>
        <a:p>
          <a:endParaRPr lang="en-US"/>
        </a:p>
      </dgm:t>
    </dgm:pt>
    <dgm:pt modelId="{0635D90A-84BB-264B-9ABC-0D2495D7BE6E}">
      <dgm:prSet phldrT="[Text]" custT="1"/>
      <dgm:spPr/>
      <dgm:t>
        <a:bodyPr/>
        <a:lstStyle/>
        <a:p>
          <a:r>
            <a:rPr lang="en-US" sz="1300" b="1">
              <a:latin typeface="Cambria" pitchFamily="18" charset="0"/>
            </a:rPr>
            <a:t>National Government (enabling environment)</a:t>
          </a:r>
        </a:p>
        <a:p>
          <a:r>
            <a:rPr lang="en-US" sz="1200">
              <a:latin typeface="Cambria" pitchFamily="18" charset="0"/>
            </a:rPr>
            <a:t>Strategic priority setting, policy, role definition, legal and regulatory frameworks, macro-level investment planning, setting of performance targets and standards, learning and innovation, coordination</a:t>
          </a:r>
          <a:r>
            <a:rPr lang="en-US" sz="1200"/>
            <a:t>.</a:t>
          </a:r>
        </a:p>
      </dgm:t>
    </dgm:pt>
    <dgm:pt modelId="{60C64C1B-2AEC-1742-B214-9B58E522C581}" type="parTrans" cxnId="{14F36FC9-CF64-6942-AC9C-1C5C934AA54B}">
      <dgm:prSet/>
      <dgm:spPr/>
      <dgm:t>
        <a:bodyPr/>
        <a:lstStyle/>
        <a:p>
          <a:endParaRPr lang="en-US"/>
        </a:p>
      </dgm:t>
    </dgm:pt>
    <dgm:pt modelId="{36429C61-BC56-BF43-ACD6-478D74B6A0F7}" type="sibTrans" cxnId="{14F36FC9-CF64-6942-AC9C-1C5C934AA54B}">
      <dgm:prSet/>
      <dgm:spPr/>
      <dgm:t>
        <a:bodyPr/>
        <a:lstStyle/>
        <a:p>
          <a:endParaRPr lang="en-US"/>
        </a:p>
      </dgm:t>
    </dgm:pt>
    <dgm:pt modelId="{FC8F78C0-DFD1-3F47-A46E-0CCA608FBF3E}">
      <dgm:prSet phldrT="[Text]" custT="1"/>
      <dgm:spPr/>
      <dgm:t>
        <a:bodyPr/>
        <a:lstStyle/>
        <a:p>
          <a:r>
            <a:rPr lang="en-US" sz="1300" b="1">
              <a:latin typeface="Cambria" pitchFamily="18" charset="0"/>
            </a:rPr>
            <a:t>Local Government (enabling environment)</a:t>
          </a:r>
        </a:p>
        <a:p>
          <a:r>
            <a:rPr lang="en-US" sz="1200">
              <a:latin typeface="Cambria" pitchFamily="18" charset="0"/>
            </a:rPr>
            <a:t>Planning, financing, contracting, monitoring, technical support, learning.</a:t>
          </a:r>
        </a:p>
      </dgm:t>
    </dgm:pt>
    <dgm:pt modelId="{6CD7A09D-E191-A743-B962-A73C062EB018}" type="parTrans" cxnId="{2BA64492-9BA3-164D-9EAF-CA6B205A73B5}">
      <dgm:prSet/>
      <dgm:spPr/>
      <dgm:t>
        <a:bodyPr/>
        <a:lstStyle/>
        <a:p>
          <a:endParaRPr lang="en-US"/>
        </a:p>
      </dgm:t>
    </dgm:pt>
    <dgm:pt modelId="{69839437-EFB4-DB49-9C2C-C1DE4CF5A51D}" type="sibTrans" cxnId="{2BA64492-9BA3-164D-9EAF-CA6B205A73B5}">
      <dgm:prSet/>
      <dgm:spPr/>
      <dgm:t>
        <a:bodyPr/>
        <a:lstStyle/>
        <a:p>
          <a:endParaRPr lang="en-US"/>
        </a:p>
      </dgm:t>
    </dgm:pt>
    <dgm:pt modelId="{EE29E678-A5B4-154C-AEC6-8C6F8BBDCFE8}">
      <dgm:prSet phldrT="[Text]" custT="1"/>
      <dgm:spPr/>
      <dgm:t>
        <a:bodyPr/>
        <a:lstStyle/>
        <a:p>
          <a:r>
            <a:rPr lang="en-US" sz="1300" b="1">
              <a:latin typeface="Cambria" pitchFamily="18" charset="0"/>
            </a:rPr>
            <a:t>Service Provider (delivery)</a:t>
          </a:r>
        </a:p>
        <a:p>
          <a:r>
            <a:rPr lang="en-US" sz="1200">
              <a:latin typeface="Cambria" pitchFamily="18" charset="0"/>
            </a:rPr>
            <a:t>Day to day administration, operations and maintenance.</a:t>
          </a:r>
        </a:p>
      </dgm:t>
    </dgm:pt>
    <dgm:pt modelId="{A529FFCC-7DDA-8944-A32D-FE1A40D197EE}" type="parTrans" cxnId="{7CBF01C2-5540-3B43-B6A0-6EE262B0CDB2}">
      <dgm:prSet/>
      <dgm:spPr/>
      <dgm:t>
        <a:bodyPr/>
        <a:lstStyle/>
        <a:p>
          <a:endParaRPr lang="en-US"/>
        </a:p>
      </dgm:t>
    </dgm:pt>
    <dgm:pt modelId="{0B2995CB-3C90-6943-99C7-94CF157AEC24}" type="sibTrans" cxnId="{7CBF01C2-5540-3B43-B6A0-6EE262B0CDB2}">
      <dgm:prSet/>
      <dgm:spPr/>
      <dgm:t>
        <a:bodyPr/>
        <a:lstStyle/>
        <a:p>
          <a:endParaRPr lang="en-US"/>
        </a:p>
      </dgm:t>
    </dgm:pt>
    <dgm:pt modelId="{D4F56FC7-884E-FD4B-B27E-2FEABF0B6C62}" type="pres">
      <dgm:prSet presAssocID="{3AB269E9-5C7A-FF46-9F73-22192D2101F0}" presName="vert0" presStyleCnt="0">
        <dgm:presLayoutVars>
          <dgm:dir/>
          <dgm:animOne val="branch"/>
          <dgm:animLvl val="lvl"/>
        </dgm:presLayoutVars>
      </dgm:prSet>
      <dgm:spPr/>
      <dgm:t>
        <a:bodyPr/>
        <a:lstStyle/>
        <a:p>
          <a:endParaRPr lang="en-US"/>
        </a:p>
      </dgm:t>
    </dgm:pt>
    <dgm:pt modelId="{F129AB29-E5EA-1E4E-A150-2D7B554A6859}" type="pres">
      <dgm:prSet presAssocID="{23CB1EFC-1689-D848-AA9A-EF00803053E4}" presName="thickLine" presStyleLbl="alignNode1" presStyleIdx="0" presStyleCnt="1"/>
      <dgm:spPr/>
    </dgm:pt>
    <dgm:pt modelId="{E9071DD7-B41B-B145-9153-894472B9A8EA}" type="pres">
      <dgm:prSet presAssocID="{23CB1EFC-1689-D848-AA9A-EF00803053E4}" presName="horz1" presStyleCnt="0"/>
      <dgm:spPr/>
    </dgm:pt>
    <dgm:pt modelId="{0778D6F7-D7E5-3D41-90E7-2C1220CC0B92}" type="pres">
      <dgm:prSet presAssocID="{23CB1EFC-1689-D848-AA9A-EF00803053E4}" presName="tx1" presStyleLbl="revTx" presStyleIdx="0" presStyleCnt="4" custScaleX="69892"/>
      <dgm:spPr/>
      <dgm:t>
        <a:bodyPr/>
        <a:lstStyle/>
        <a:p>
          <a:endParaRPr lang="en-US"/>
        </a:p>
      </dgm:t>
    </dgm:pt>
    <dgm:pt modelId="{BFDBBE26-827E-644A-8335-203B23BB7C21}" type="pres">
      <dgm:prSet presAssocID="{23CB1EFC-1689-D848-AA9A-EF00803053E4}" presName="vert1" presStyleCnt="0"/>
      <dgm:spPr/>
    </dgm:pt>
    <dgm:pt modelId="{DFEFD7ED-B6BF-804C-AAB6-20BC297E108C}" type="pres">
      <dgm:prSet presAssocID="{0635D90A-84BB-264B-9ABC-0D2495D7BE6E}" presName="vertSpace2a" presStyleCnt="0"/>
      <dgm:spPr/>
    </dgm:pt>
    <dgm:pt modelId="{0290E3E7-1061-FD4E-9E6F-8CDE920D3E8F}" type="pres">
      <dgm:prSet presAssocID="{0635D90A-84BB-264B-9ABC-0D2495D7BE6E}" presName="horz2" presStyleCnt="0"/>
      <dgm:spPr/>
    </dgm:pt>
    <dgm:pt modelId="{2E6F4977-4591-4D4E-91A6-331E4C56FF39}" type="pres">
      <dgm:prSet presAssocID="{0635D90A-84BB-264B-9ABC-0D2495D7BE6E}" presName="horzSpace2" presStyleCnt="0"/>
      <dgm:spPr/>
    </dgm:pt>
    <dgm:pt modelId="{0619695E-1B1C-D349-A43B-228C283665B8}" type="pres">
      <dgm:prSet presAssocID="{0635D90A-84BB-264B-9ABC-0D2495D7BE6E}" presName="tx2" presStyleLbl="revTx" presStyleIdx="1" presStyleCnt="4" custScaleX="101011" custScaleY="71170"/>
      <dgm:spPr/>
      <dgm:t>
        <a:bodyPr/>
        <a:lstStyle/>
        <a:p>
          <a:endParaRPr lang="en-US"/>
        </a:p>
      </dgm:t>
    </dgm:pt>
    <dgm:pt modelId="{E0098C4A-FDAA-9549-9DBF-097064C9BAB9}" type="pres">
      <dgm:prSet presAssocID="{0635D90A-84BB-264B-9ABC-0D2495D7BE6E}" presName="vert2" presStyleCnt="0"/>
      <dgm:spPr/>
    </dgm:pt>
    <dgm:pt modelId="{E440FCAA-5ABB-0048-87C3-4E03E6C691D3}" type="pres">
      <dgm:prSet presAssocID="{0635D90A-84BB-264B-9ABC-0D2495D7BE6E}" presName="thinLine2b" presStyleLbl="callout" presStyleIdx="0" presStyleCnt="3"/>
      <dgm:spPr/>
    </dgm:pt>
    <dgm:pt modelId="{AE44E2D6-0821-FD4F-8A14-5F0EB083CF8F}" type="pres">
      <dgm:prSet presAssocID="{0635D90A-84BB-264B-9ABC-0D2495D7BE6E}" presName="vertSpace2b" presStyleCnt="0"/>
      <dgm:spPr/>
    </dgm:pt>
    <dgm:pt modelId="{148EABA2-132C-D541-A78D-ACD8C62747BB}" type="pres">
      <dgm:prSet presAssocID="{FC8F78C0-DFD1-3F47-A46E-0CCA608FBF3E}" presName="horz2" presStyleCnt="0"/>
      <dgm:spPr/>
    </dgm:pt>
    <dgm:pt modelId="{64B42CB8-87D0-4F44-B15C-2AAFA57B8362}" type="pres">
      <dgm:prSet presAssocID="{FC8F78C0-DFD1-3F47-A46E-0CCA608FBF3E}" presName="horzSpace2" presStyleCnt="0"/>
      <dgm:spPr/>
    </dgm:pt>
    <dgm:pt modelId="{F198B5DD-C559-DD4D-B9C4-A9DD11A6C360}" type="pres">
      <dgm:prSet presAssocID="{FC8F78C0-DFD1-3F47-A46E-0CCA608FBF3E}" presName="tx2" presStyleLbl="revTx" presStyleIdx="2" presStyleCnt="4" custScaleX="107701" custScaleY="49821"/>
      <dgm:spPr/>
      <dgm:t>
        <a:bodyPr/>
        <a:lstStyle/>
        <a:p>
          <a:endParaRPr lang="en-US"/>
        </a:p>
      </dgm:t>
    </dgm:pt>
    <dgm:pt modelId="{36C5EB76-5D71-8047-9E9B-41E88044821A}" type="pres">
      <dgm:prSet presAssocID="{FC8F78C0-DFD1-3F47-A46E-0CCA608FBF3E}" presName="vert2" presStyleCnt="0"/>
      <dgm:spPr/>
    </dgm:pt>
    <dgm:pt modelId="{317D4F2D-C0AF-644A-94D2-2D4B7430AEAC}" type="pres">
      <dgm:prSet presAssocID="{FC8F78C0-DFD1-3F47-A46E-0CCA608FBF3E}" presName="thinLine2b" presStyleLbl="callout" presStyleIdx="1" presStyleCnt="3"/>
      <dgm:spPr/>
    </dgm:pt>
    <dgm:pt modelId="{5A1155F6-AB0D-8941-89FF-D11333E8D2BB}" type="pres">
      <dgm:prSet presAssocID="{FC8F78C0-DFD1-3F47-A46E-0CCA608FBF3E}" presName="vertSpace2b" presStyleCnt="0"/>
      <dgm:spPr/>
    </dgm:pt>
    <dgm:pt modelId="{F3EE8800-5FA0-BA4F-977B-45E40EC5FFCA}" type="pres">
      <dgm:prSet presAssocID="{EE29E678-A5B4-154C-AEC6-8C6F8BBDCFE8}" presName="horz2" presStyleCnt="0"/>
      <dgm:spPr/>
    </dgm:pt>
    <dgm:pt modelId="{1E15CFA5-3EC0-6A4C-8A31-B22BA3981F27}" type="pres">
      <dgm:prSet presAssocID="{EE29E678-A5B4-154C-AEC6-8C6F8BBDCFE8}" presName="horzSpace2" presStyleCnt="0"/>
      <dgm:spPr/>
    </dgm:pt>
    <dgm:pt modelId="{D3EF6929-9DDD-2048-8566-301DFDC28A9C}" type="pres">
      <dgm:prSet presAssocID="{EE29E678-A5B4-154C-AEC6-8C6F8BBDCFE8}" presName="tx2" presStyleLbl="revTx" presStyleIdx="3" presStyleCnt="4" custScaleY="48002"/>
      <dgm:spPr/>
      <dgm:t>
        <a:bodyPr/>
        <a:lstStyle/>
        <a:p>
          <a:endParaRPr lang="en-US"/>
        </a:p>
      </dgm:t>
    </dgm:pt>
    <dgm:pt modelId="{EF0EE7DA-759E-6345-99D3-B0F5F76E203E}" type="pres">
      <dgm:prSet presAssocID="{EE29E678-A5B4-154C-AEC6-8C6F8BBDCFE8}" presName="vert2" presStyleCnt="0"/>
      <dgm:spPr/>
    </dgm:pt>
    <dgm:pt modelId="{745FEDA5-C120-BD43-BD21-C50ACC76B43A}" type="pres">
      <dgm:prSet presAssocID="{EE29E678-A5B4-154C-AEC6-8C6F8BBDCFE8}" presName="thinLine2b" presStyleLbl="callout" presStyleIdx="2" presStyleCnt="3"/>
      <dgm:spPr/>
    </dgm:pt>
    <dgm:pt modelId="{F1325E6B-D9D3-D440-B66F-281153D931E3}" type="pres">
      <dgm:prSet presAssocID="{EE29E678-A5B4-154C-AEC6-8C6F8BBDCFE8}" presName="vertSpace2b" presStyleCnt="0"/>
      <dgm:spPr/>
    </dgm:pt>
  </dgm:ptLst>
  <dgm:cxnLst>
    <dgm:cxn modelId="{AFE0A5BF-0CA9-4C8C-ABA1-FA58152EEC17}" type="presOf" srcId="{FC8F78C0-DFD1-3F47-A46E-0CCA608FBF3E}" destId="{F198B5DD-C559-DD4D-B9C4-A9DD11A6C360}" srcOrd="0" destOrd="0" presId="urn:microsoft.com/office/officeart/2008/layout/LinedList"/>
    <dgm:cxn modelId="{D9FA5485-A590-433D-97D9-9604E2071EB2}" type="presOf" srcId="{23CB1EFC-1689-D848-AA9A-EF00803053E4}" destId="{0778D6F7-D7E5-3D41-90E7-2C1220CC0B92}" srcOrd="0" destOrd="0" presId="urn:microsoft.com/office/officeart/2008/layout/LinedList"/>
    <dgm:cxn modelId="{7CBF01C2-5540-3B43-B6A0-6EE262B0CDB2}" srcId="{23CB1EFC-1689-D848-AA9A-EF00803053E4}" destId="{EE29E678-A5B4-154C-AEC6-8C6F8BBDCFE8}" srcOrd="2" destOrd="0" parTransId="{A529FFCC-7DDA-8944-A32D-FE1A40D197EE}" sibTransId="{0B2995CB-3C90-6943-99C7-94CF157AEC24}"/>
    <dgm:cxn modelId="{A713F8B3-07AF-4540-9E81-463A2C2B7E5B}" type="presOf" srcId="{0635D90A-84BB-264B-9ABC-0D2495D7BE6E}" destId="{0619695E-1B1C-D349-A43B-228C283665B8}" srcOrd="0" destOrd="0" presId="urn:microsoft.com/office/officeart/2008/layout/LinedList"/>
    <dgm:cxn modelId="{14F36FC9-CF64-6942-AC9C-1C5C934AA54B}" srcId="{23CB1EFC-1689-D848-AA9A-EF00803053E4}" destId="{0635D90A-84BB-264B-9ABC-0D2495D7BE6E}" srcOrd="0" destOrd="0" parTransId="{60C64C1B-2AEC-1742-B214-9B58E522C581}" sibTransId="{36429C61-BC56-BF43-ACD6-478D74B6A0F7}"/>
    <dgm:cxn modelId="{4CDBAAAF-29D2-43DA-A8F7-1E7ADE0DF2E6}" type="presOf" srcId="{EE29E678-A5B4-154C-AEC6-8C6F8BBDCFE8}" destId="{D3EF6929-9DDD-2048-8566-301DFDC28A9C}" srcOrd="0" destOrd="0" presId="urn:microsoft.com/office/officeart/2008/layout/LinedList"/>
    <dgm:cxn modelId="{E3717D2B-FCA6-4CAE-919A-4E225511D964}" type="presOf" srcId="{3AB269E9-5C7A-FF46-9F73-22192D2101F0}" destId="{D4F56FC7-884E-FD4B-B27E-2FEABF0B6C62}" srcOrd="0" destOrd="0" presId="urn:microsoft.com/office/officeart/2008/layout/LinedList"/>
    <dgm:cxn modelId="{2BA64492-9BA3-164D-9EAF-CA6B205A73B5}" srcId="{23CB1EFC-1689-D848-AA9A-EF00803053E4}" destId="{FC8F78C0-DFD1-3F47-A46E-0CCA608FBF3E}" srcOrd="1" destOrd="0" parTransId="{6CD7A09D-E191-A743-B962-A73C062EB018}" sibTransId="{69839437-EFB4-DB49-9C2C-C1DE4CF5A51D}"/>
    <dgm:cxn modelId="{FF45B55C-1966-0C40-A382-C94FBD00B2D0}" srcId="{3AB269E9-5C7A-FF46-9F73-22192D2101F0}" destId="{23CB1EFC-1689-D848-AA9A-EF00803053E4}" srcOrd="0" destOrd="0" parTransId="{07F14A7E-7D1D-0142-956F-1B449F32DEC1}" sibTransId="{66173322-DB23-AE44-942F-7C8CAC08F767}"/>
    <dgm:cxn modelId="{E40EBFB5-AD26-423E-A288-899340049B7B}" type="presParOf" srcId="{D4F56FC7-884E-FD4B-B27E-2FEABF0B6C62}" destId="{F129AB29-E5EA-1E4E-A150-2D7B554A6859}" srcOrd="0" destOrd="0" presId="urn:microsoft.com/office/officeart/2008/layout/LinedList"/>
    <dgm:cxn modelId="{D531A1F0-1604-4B42-86C7-6FEC8F833DA1}" type="presParOf" srcId="{D4F56FC7-884E-FD4B-B27E-2FEABF0B6C62}" destId="{E9071DD7-B41B-B145-9153-894472B9A8EA}" srcOrd="1" destOrd="0" presId="urn:microsoft.com/office/officeart/2008/layout/LinedList"/>
    <dgm:cxn modelId="{E09A5585-FE25-4C15-B60C-69006A53CED6}" type="presParOf" srcId="{E9071DD7-B41B-B145-9153-894472B9A8EA}" destId="{0778D6F7-D7E5-3D41-90E7-2C1220CC0B92}" srcOrd="0" destOrd="0" presId="urn:microsoft.com/office/officeart/2008/layout/LinedList"/>
    <dgm:cxn modelId="{13C8C0CC-3784-47C1-ADDB-1890124934E8}" type="presParOf" srcId="{E9071DD7-B41B-B145-9153-894472B9A8EA}" destId="{BFDBBE26-827E-644A-8335-203B23BB7C21}" srcOrd="1" destOrd="0" presId="urn:microsoft.com/office/officeart/2008/layout/LinedList"/>
    <dgm:cxn modelId="{B20BD014-7807-4488-8822-7D9692D83531}" type="presParOf" srcId="{BFDBBE26-827E-644A-8335-203B23BB7C21}" destId="{DFEFD7ED-B6BF-804C-AAB6-20BC297E108C}" srcOrd="0" destOrd="0" presId="urn:microsoft.com/office/officeart/2008/layout/LinedList"/>
    <dgm:cxn modelId="{49CAAC44-1F6A-4A7F-9A0E-AB0B0246AAB7}" type="presParOf" srcId="{BFDBBE26-827E-644A-8335-203B23BB7C21}" destId="{0290E3E7-1061-FD4E-9E6F-8CDE920D3E8F}" srcOrd="1" destOrd="0" presId="urn:microsoft.com/office/officeart/2008/layout/LinedList"/>
    <dgm:cxn modelId="{ED0407C8-A59C-4F69-BC34-9CEDE967C205}" type="presParOf" srcId="{0290E3E7-1061-FD4E-9E6F-8CDE920D3E8F}" destId="{2E6F4977-4591-4D4E-91A6-331E4C56FF39}" srcOrd="0" destOrd="0" presId="urn:microsoft.com/office/officeart/2008/layout/LinedList"/>
    <dgm:cxn modelId="{3896BFB3-B678-4538-A7D6-88C54663435B}" type="presParOf" srcId="{0290E3E7-1061-FD4E-9E6F-8CDE920D3E8F}" destId="{0619695E-1B1C-D349-A43B-228C283665B8}" srcOrd="1" destOrd="0" presId="urn:microsoft.com/office/officeart/2008/layout/LinedList"/>
    <dgm:cxn modelId="{D3693C12-0A1E-42E5-98AC-A0651E36C474}" type="presParOf" srcId="{0290E3E7-1061-FD4E-9E6F-8CDE920D3E8F}" destId="{E0098C4A-FDAA-9549-9DBF-097064C9BAB9}" srcOrd="2" destOrd="0" presId="urn:microsoft.com/office/officeart/2008/layout/LinedList"/>
    <dgm:cxn modelId="{3370AA4B-DBAD-46C9-AC35-73498E310366}" type="presParOf" srcId="{BFDBBE26-827E-644A-8335-203B23BB7C21}" destId="{E440FCAA-5ABB-0048-87C3-4E03E6C691D3}" srcOrd="2" destOrd="0" presId="urn:microsoft.com/office/officeart/2008/layout/LinedList"/>
    <dgm:cxn modelId="{7A029966-72E1-45E4-9212-2189A34FA124}" type="presParOf" srcId="{BFDBBE26-827E-644A-8335-203B23BB7C21}" destId="{AE44E2D6-0821-FD4F-8A14-5F0EB083CF8F}" srcOrd="3" destOrd="0" presId="urn:microsoft.com/office/officeart/2008/layout/LinedList"/>
    <dgm:cxn modelId="{9C8E85E0-342C-4D99-AEC6-369DC478CADD}" type="presParOf" srcId="{BFDBBE26-827E-644A-8335-203B23BB7C21}" destId="{148EABA2-132C-D541-A78D-ACD8C62747BB}" srcOrd="4" destOrd="0" presId="urn:microsoft.com/office/officeart/2008/layout/LinedList"/>
    <dgm:cxn modelId="{85332725-DEF2-485F-8028-7057F9E38884}" type="presParOf" srcId="{148EABA2-132C-D541-A78D-ACD8C62747BB}" destId="{64B42CB8-87D0-4F44-B15C-2AAFA57B8362}" srcOrd="0" destOrd="0" presId="urn:microsoft.com/office/officeart/2008/layout/LinedList"/>
    <dgm:cxn modelId="{3ED34A97-66D8-4FD6-8B7F-7FC2EED18218}" type="presParOf" srcId="{148EABA2-132C-D541-A78D-ACD8C62747BB}" destId="{F198B5DD-C559-DD4D-B9C4-A9DD11A6C360}" srcOrd="1" destOrd="0" presId="urn:microsoft.com/office/officeart/2008/layout/LinedList"/>
    <dgm:cxn modelId="{0E3B9C10-AE1E-42BA-B722-0E6A74C1421E}" type="presParOf" srcId="{148EABA2-132C-D541-A78D-ACD8C62747BB}" destId="{36C5EB76-5D71-8047-9E9B-41E88044821A}" srcOrd="2" destOrd="0" presId="urn:microsoft.com/office/officeart/2008/layout/LinedList"/>
    <dgm:cxn modelId="{6F325293-A3B5-4487-87BA-74BAD24DF906}" type="presParOf" srcId="{BFDBBE26-827E-644A-8335-203B23BB7C21}" destId="{317D4F2D-C0AF-644A-94D2-2D4B7430AEAC}" srcOrd="5" destOrd="0" presId="urn:microsoft.com/office/officeart/2008/layout/LinedList"/>
    <dgm:cxn modelId="{226C0F51-3ED4-4EAF-8E4A-FB751ACEC954}" type="presParOf" srcId="{BFDBBE26-827E-644A-8335-203B23BB7C21}" destId="{5A1155F6-AB0D-8941-89FF-D11333E8D2BB}" srcOrd="6" destOrd="0" presId="urn:microsoft.com/office/officeart/2008/layout/LinedList"/>
    <dgm:cxn modelId="{4728977E-EFEC-4B35-9393-3D2EF83187BF}" type="presParOf" srcId="{BFDBBE26-827E-644A-8335-203B23BB7C21}" destId="{F3EE8800-5FA0-BA4F-977B-45E40EC5FFCA}" srcOrd="7" destOrd="0" presId="urn:microsoft.com/office/officeart/2008/layout/LinedList"/>
    <dgm:cxn modelId="{62D837CE-44C6-4296-84AA-EB2DDA6091FB}" type="presParOf" srcId="{F3EE8800-5FA0-BA4F-977B-45E40EC5FFCA}" destId="{1E15CFA5-3EC0-6A4C-8A31-B22BA3981F27}" srcOrd="0" destOrd="0" presId="urn:microsoft.com/office/officeart/2008/layout/LinedList"/>
    <dgm:cxn modelId="{7CF580FB-4F1D-4EC6-8D9F-E377007437AA}" type="presParOf" srcId="{F3EE8800-5FA0-BA4F-977B-45E40EC5FFCA}" destId="{D3EF6929-9DDD-2048-8566-301DFDC28A9C}" srcOrd="1" destOrd="0" presId="urn:microsoft.com/office/officeart/2008/layout/LinedList"/>
    <dgm:cxn modelId="{BEE325DA-8768-46FB-8289-AD10A79E901F}" type="presParOf" srcId="{F3EE8800-5FA0-BA4F-977B-45E40EC5FFCA}" destId="{EF0EE7DA-759E-6345-99D3-B0F5F76E203E}" srcOrd="2" destOrd="0" presId="urn:microsoft.com/office/officeart/2008/layout/LinedList"/>
    <dgm:cxn modelId="{22CE111E-A542-43C2-B6C0-F46E0FD3A3EB}" type="presParOf" srcId="{BFDBBE26-827E-644A-8335-203B23BB7C21}" destId="{745FEDA5-C120-BD43-BD21-C50ACC76B43A}" srcOrd="8" destOrd="0" presId="urn:microsoft.com/office/officeart/2008/layout/LinedList"/>
    <dgm:cxn modelId="{1BDB73CC-3247-48CF-8CC3-426A2D1EA7F4}" type="presParOf" srcId="{BFDBBE26-827E-644A-8335-203B23BB7C21}" destId="{F1325E6B-D9D3-D440-B66F-281153D931E3}" srcOrd="9"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FD03E-0C0A-4C71-AC5C-4C077330AA16}">
      <dsp:nvSpPr>
        <dsp:cNvPr id="0" name=""/>
        <dsp:cNvSpPr/>
      </dsp:nvSpPr>
      <dsp:spPr>
        <a:xfrm>
          <a:off x="1135232" y="897"/>
          <a:ext cx="597195" cy="388177"/>
        </a:xfrm>
        <a:prstGeom prst="roundRect">
          <a:avLst/>
        </a:prstGeom>
        <a:solidFill>
          <a:schemeClr val="accent1">
            <a:hueOff val="0"/>
            <a:satOff val="0"/>
            <a:lumOff val="0"/>
            <a:alphaOff val="0"/>
          </a:schemeClr>
        </a:solidFill>
        <a:ln w="25400" cap="flat" cmpd="dbl"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 basic level of service is maintained</a:t>
          </a:r>
        </a:p>
      </dsp:txBody>
      <dsp:txXfrm>
        <a:off x="1154181" y="19846"/>
        <a:ext cx="559297" cy="350279"/>
      </dsp:txXfrm>
    </dsp:sp>
    <dsp:sp modelId="{9B3EB863-A6B9-48C5-9FE4-F3A56F1CB4D4}">
      <dsp:nvSpPr>
        <dsp:cNvPr id="0" name=""/>
        <dsp:cNvSpPr/>
      </dsp:nvSpPr>
      <dsp:spPr>
        <a:xfrm>
          <a:off x="792521" y="194986"/>
          <a:ext cx="1282617" cy="1282617"/>
        </a:xfrm>
        <a:custGeom>
          <a:avLst/>
          <a:gdLst/>
          <a:ahLst/>
          <a:cxnLst/>
          <a:rect l="0" t="0" r="0" b="0"/>
          <a:pathLst>
            <a:path>
              <a:moveTo>
                <a:pt x="1022344" y="125470"/>
              </a:moveTo>
              <a:arcTo wR="641308" hR="641308" stAng="18387137" swAng="1633705"/>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574090-A379-4F3B-ACEA-F000B54BE1CA}">
      <dsp:nvSpPr>
        <dsp:cNvPr id="0" name=""/>
        <dsp:cNvSpPr/>
      </dsp:nvSpPr>
      <dsp:spPr>
        <a:xfrm>
          <a:off x="1776541" y="642206"/>
          <a:ext cx="597195" cy="388177"/>
        </a:xfrm>
        <a:prstGeom prst="roundRect">
          <a:avLst/>
        </a:prstGeom>
        <a:solidFill>
          <a:schemeClr val="accent1">
            <a:hueOff val="0"/>
            <a:satOff val="0"/>
            <a:lumOff val="0"/>
            <a:alphaOff val="0"/>
          </a:schemeClr>
        </a:solidFill>
        <a:ln w="25400" cap="flat" cmpd="dbl"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Consumers are willing to pay for the service</a:t>
          </a:r>
        </a:p>
      </dsp:txBody>
      <dsp:txXfrm>
        <a:off x="1795490" y="661155"/>
        <a:ext cx="559297" cy="350279"/>
      </dsp:txXfrm>
    </dsp:sp>
    <dsp:sp modelId="{8FA541F0-CA26-4DA7-B3E9-3B6B33F29043}">
      <dsp:nvSpPr>
        <dsp:cNvPr id="0" name=""/>
        <dsp:cNvSpPr/>
      </dsp:nvSpPr>
      <dsp:spPr>
        <a:xfrm>
          <a:off x="792521" y="194986"/>
          <a:ext cx="1282617" cy="1282617"/>
        </a:xfrm>
        <a:custGeom>
          <a:avLst/>
          <a:gdLst/>
          <a:ahLst/>
          <a:cxnLst/>
          <a:rect l="0" t="0" r="0" b="0"/>
          <a:pathLst>
            <a:path>
              <a:moveTo>
                <a:pt x="1216138" y="925648"/>
              </a:moveTo>
              <a:arcTo wR="641308" hR="641308" stAng="1579157" swAng="1633705"/>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553670A-1A1D-49BA-9146-3D326E6CE82E}">
      <dsp:nvSpPr>
        <dsp:cNvPr id="0" name=""/>
        <dsp:cNvSpPr/>
      </dsp:nvSpPr>
      <dsp:spPr>
        <a:xfrm>
          <a:off x="1135232" y="1283515"/>
          <a:ext cx="597195" cy="388177"/>
        </a:xfrm>
        <a:prstGeom prst="roundRect">
          <a:avLst/>
        </a:prstGeom>
        <a:solidFill>
          <a:schemeClr val="accent1">
            <a:hueOff val="0"/>
            <a:satOff val="0"/>
            <a:lumOff val="0"/>
            <a:alphaOff val="0"/>
          </a:schemeClr>
        </a:solidFill>
        <a:ln w="25400" cap="flat" cmpd="dbl"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Revenue is raised for O&amp;M</a:t>
          </a:r>
        </a:p>
      </dsp:txBody>
      <dsp:txXfrm>
        <a:off x="1154181" y="1302464"/>
        <a:ext cx="559297" cy="350279"/>
      </dsp:txXfrm>
    </dsp:sp>
    <dsp:sp modelId="{D3340A7F-DA93-4817-8EA5-7278DE3EAD10}">
      <dsp:nvSpPr>
        <dsp:cNvPr id="0" name=""/>
        <dsp:cNvSpPr/>
      </dsp:nvSpPr>
      <dsp:spPr>
        <a:xfrm>
          <a:off x="792521" y="194986"/>
          <a:ext cx="1282617" cy="1282617"/>
        </a:xfrm>
        <a:custGeom>
          <a:avLst/>
          <a:gdLst/>
          <a:ahLst/>
          <a:cxnLst/>
          <a:rect l="0" t="0" r="0" b="0"/>
          <a:pathLst>
            <a:path>
              <a:moveTo>
                <a:pt x="260273" y="1157147"/>
              </a:moveTo>
              <a:arcTo wR="641308" hR="641308" stAng="7587137" swAng="1633705"/>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55363E4-DBD0-4558-A3F9-5C26B3BDBFD1}">
      <dsp:nvSpPr>
        <dsp:cNvPr id="0" name=""/>
        <dsp:cNvSpPr/>
      </dsp:nvSpPr>
      <dsp:spPr>
        <a:xfrm>
          <a:off x="493923" y="642206"/>
          <a:ext cx="597195" cy="388177"/>
        </a:xfrm>
        <a:prstGeom prst="roundRect">
          <a:avLst/>
        </a:prstGeom>
        <a:solidFill>
          <a:schemeClr val="accent1">
            <a:hueOff val="0"/>
            <a:satOff val="0"/>
            <a:lumOff val="0"/>
            <a:alphaOff val="0"/>
          </a:schemeClr>
        </a:solidFill>
        <a:ln w="25400" cap="flat" cmpd="dbl"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Life cycle costs are covered</a:t>
          </a:r>
        </a:p>
      </dsp:txBody>
      <dsp:txXfrm>
        <a:off x="512872" y="661155"/>
        <a:ext cx="559297" cy="350279"/>
      </dsp:txXfrm>
    </dsp:sp>
    <dsp:sp modelId="{3C17EA35-9899-44E0-A871-B282F2D2BE64}">
      <dsp:nvSpPr>
        <dsp:cNvPr id="0" name=""/>
        <dsp:cNvSpPr/>
      </dsp:nvSpPr>
      <dsp:spPr>
        <a:xfrm>
          <a:off x="792521" y="194986"/>
          <a:ext cx="1282617" cy="1282617"/>
        </a:xfrm>
        <a:custGeom>
          <a:avLst/>
          <a:gdLst/>
          <a:ahLst/>
          <a:cxnLst/>
          <a:rect l="0" t="0" r="0" b="0"/>
          <a:pathLst>
            <a:path>
              <a:moveTo>
                <a:pt x="66479" y="356969"/>
              </a:moveTo>
              <a:arcTo wR="641308" hR="641308" stAng="12379157" swAng="1633705"/>
            </a:path>
          </a:pathLst>
        </a:custGeom>
        <a:noFill/>
        <a:ln w="12700"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29AB29-E5EA-1E4E-A150-2D7B554A6859}">
      <dsp:nvSpPr>
        <dsp:cNvPr id="0" name=""/>
        <dsp:cNvSpPr/>
      </dsp:nvSpPr>
      <dsp:spPr>
        <a:xfrm>
          <a:off x="0" y="0"/>
          <a:ext cx="6092041" cy="0"/>
        </a:xfrm>
        <a:prstGeom prst="line">
          <a:avLst/>
        </a:prstGeom>
        <a:gradFill rotWithShape="0">
          <a:gsLst>
            <a:gs pos="0">
              <a:schemeClr val="accent1">
                <a:hueOff val="0"/>
                <a:satOff val="0"/>
                <a:lumOff val="0"/>
                <a:alphaOff val="0"/>
                <a:shade val="100000"/>
                <a:satMod val="120000"/>
              </a:schemeClr>
            </a:gs>
            <a:gs pos="69000">
              <a:schemeClr val="accent1">
                <a:hueOff val="0"/>
                <a:satOff val="0"/>
                <a:lumOff val="0"/>
                <a:alphaOff val="0"/>
                <a:tint val="80000"/>
                <a:shade val="100000"/>
                <a:satMod val="150000"/>
              </a:schemeClr>
            </a:gs>
            <a:gs pos="100000">
              <a:schemeClr val="accent1">
                <a:hueOff val="0"/>
                <a:satOff val="0"/>
                <a:lumOff val="0"/>
                <a:alphaOff val="0"/>
                <a:tint val="50000"/>
                <a:shade val="100000"/>
                <a:satMod val="150000"/>
              </a:schemeClr>
            </a:gs>
          </a:gsLst>
          <a:path path="circle">
            <a:fillToRect l="100000" t="100000" r="100000" b="100000"/>
          </a:path>
        </a:gradFill>
        <a:ln w="12700" cap="flat" cmpd="sng" algn="ctr">
          <a:solidFill>
            <a:schemeClr val="accent1">
              <a:hueOff val="0"/>
              <a:satOff val="0"/>
              <a:lumOff val="0"/>
              <a:alphaOff val="0"/>
            </a:schemeClr>
          </a:solidFill>
          <a:prstDash val="solid"/>
        </a:ln>
        <a:effectLst>
          <a:outerShdw blurRad="63500" dist="25400" dir="5400000" sx="101000" sy="101000" rotWithShape="0">
            <a:srgbClr val="000000">
              <a:alpha val="40000"/>
            </a:srgbClr>
          </a:outerShdw>
        </a:effectLst>
      </dsp:spPr>
      <dsp:style>
        <a:lnRef idx="1">
          <a:scrgbClr r="0" g="0" b="0"/>
        </a:lnRef>
        <a:fillRef idx="3">
          <a:scrgbClr r="0" g="0" b="0"/>
        </a:fillRef>
        <a:effectRef idx="2">
          <a:scrgbClr r="0" g="0" b="0"/>
        </a:effectRef>
        <a:fontRef idx="minor">
          <a:schemeClr val="lt1"/>
        </a:fontRef>
      </dsp:style>
    </dsp:sp>
    <dsp:sp modelId="{0778D6F7-D7E5-3D41-90E7-2C1220CC0B92}">
      <dsp:nvSpPr>
        <dsp:cNvPr id="0" name=""/>
        <dsp:cNvSpPr/>
      </dsp:nvSpPr>
      <dsp:spPr>
        <a:xfrm>
          <a:off x="0" y="0"/>
          <a:ext cx="850738" cy="2529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latin typeface="Cambria" pitchFamily="18" charset="0"/>
            </a:rPr>
            <a:t>Roles</a:t>
          </a:r>
        </a:p>
      </dsp:txBody>
      <dsp:txXfrm>
        <a:off x="0" y="0"/>
        <a:ext cx="850738" cy="2529444"/>
      </dsp:txXfrm>
    </dsp:sp>
    <dsp:sp modelId="{0619695E-1B1C-D349-A43B-228C283665B8}">
      <dsp:nvSpPr>
        <dsp:cNvPr id="0" name=""/>
        <dsp:cNvSpPr/>
      </dsp:nvSpPr>
      <dsp:spPr>
        <a:xfrm>
          <a:off x="942029" y="66817"/>
          <a:ext cx="4825884" cy="951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a:latin typeface="Cambria" pitchFamily="18" charset="0"/>
            </a:rPr>
            <a:t>National Government (enabling environment)</a:t>
          </a:r>
        </a:p>
        <a:p>
          <a:pPr lvl="0" algn="l" defTabSz="577850">
            <a:lnSpc>
              <a:spcPct val="90000"/>
            </a:lnSpc>
            <a:spcBef>
              <a:spcPct val="0"/>
            </a:spcBef>
            <a:spcAft>
              <a:spcPct val="35000"/>
            </a:spcAft>
          </a:pPr>
          <a:r>
            <a:rPr lang="en-US" sz="1200" kern="1200">
              <a:latin typeface="Cambria" pitchFamily="18" charset="0"/>
            </a:rPr>
            <a:t>Strategic priority setting, policy, role definition, legal and regulatory frameworks, macro-level investment planning, setting of performance targets and standards, learning and innovation, coordination</a:t>
          </a:r>
          <a:r>
            <a:rPr lang="en-US" sz="1200" kern="1200"/>
            <a:t>.</a:t>
          </a:r>
        </a:p>
      </dsp:txBody>
      <dsp:txXfrm>
        <a:off x="942029" y="66817"/>
        <a:ext cx="4825884" cy="951085"/>
      </dsp:txXfrm>
    </dsp:sp>
    <dsp:sp modelId="{E440FCAA-5ABB-0048-87C3-4E03E6C691D3}">
      <dsp:nvSpPr>
        <dsp:cNvPr id="0" name=""/>
        <dsp:cNvSpPr/>
      </dsp:nvSpPr>
      <dsp:spPr>
        <a:xfrm>
          <a:off x="850738" y="1017902"/>
          <a:ext cx="4868874" cy="0"/>
        </a:xfrm>
        <a:prstGeom prst="line">
          <a:avLst/>
        </a:prstGeom>
        <a:solidFill>
          <a:schemeClr val="accent1">
            <a:hueOff val="0"/>
            <a:satOff val="0"/>
            <a:lumOff val="0"/>
            <a:alphaOff val="0"/>
          </a:schemeClr>
        </a:solidFill>
        <a:ln w="25400" cap="flat" cmpd="dbl" algn="ctr">
          <a:solidFill>
            <a:schemeClr val="accent1">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F198B5DD-C559-DD4D-B9C4-A9DD11A6C360}">
      <dsp:nvSpPr>
        <dsp:cNvPr id="0" name=""/>
        <dsp:cNvSpPr/>
      </dsp:nvSpPr>
      <dsp:spPr>
        <a:xfrm>
          <a:off x="942029" y="1084720"/>
          <a:ext cx="5145504" cy="665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a:latin typeface="Cambria" pitchFamily="18" charset="0"/>
            </a:rPr>
            <a:t>Local Government (enabling environment)</a:t>
          </a:r>
        </a:p>
        <a:p>
          <a:pPr lvl="0" algn="l" defTabSz="577850">
            <a:lnSpc>
              <a:spcPct val="90000"/>
            </a:lnSpc>
            <a:spcBef>
              <a:spcPct val="0"/>
            </a:spcBef>
            <a:spcAft>
              <a:spcPct val="35000"/>
            </a:spcAft>
          </a:pPr>
          <a:r>
            <a:rPr lang="en-US" sz="1200" kern="1200">
              <a:latin typeface="Cambria" pitchFamily="18" charset="0"/>
            </a:rPr>
            <a:t>Planning, financing, contracting, monitoring, technical support, learning.</a:t>
          </a:r>
        </a:p>
      </dsp:txBody>
      <dsp:txXfrm>
        <a:off x="942029" y="1084720"/>
        <a:ext cx="5145504" cy="665786"/>
      </dsp:txXfrm>
    </dsp:sp>
    <dsp:sp modelId="{317D4F2D-C0AF-644A-94D2-2D4B7430AEAC}">
      <dsp:nvSpPr>
        <dsp:cNvPr id="0" name=""/>
        <dsp:cNvSpPr/>
      </dsp:nvSpPr>
      <dsp:spPr>
        <a:xfrm>
          <a:off x="850738" y="1750506"/>
          <a:ext cx="4868874" cy="0"/>
        </a:xfrm>
        <a:prstGeom prst="line">
          <a:avLst/>
        </a:prstGeom>
        <a:solidFill>
          <a:schemeClr val="accent1">
            <a:hueOff val="0"/>
            <a:satOff val="0"/>
            <a:lumOff val="0"/>
            <a:alphaOff val="0"/>
          </a:schemeClr>
        </a:solidFill>
        <a:ln w="25400" cap="flat" cmpd="dbl" algn="ctr">
          <a:solidFill>
            <a:schemeClr val="accent1">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 modelId="{D3EF6929-9DDD-2048-8566-301DFDC28A9C}">
      <dsp:nvSpPr>
        <dsp:cNvPr id="0" name=""/>
        <dsp:cNvSpPr/>
      </dsp:nvSpPr>
      <dsp:spPr>
        <a:xfrm>
          <a:off x="942029" y="1817324"/>
          <a:ext cx="4777582" cy="6414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b="1" kern="1200">
              <a:latin typeface="Cambria" pitchFamily="18" charset="0"/>
            </a:rPr>
            <a:t>Service Provider (delivery)</a:t>
          </a:r>
        </a:p>
        <a:p>
          <a:pPr lvl="0" algn="l" defTabSz="577850">
            <a:lnSpc>
              <a:spcPct val="90000"/>
            </a:lnSpc>
            <a:spcBef>
              <a:spcPct val="0"/>
            </a:spcBef>
            <a:spcAft>
              <a:spcPct val="35000"/>
            </a:spcAft>
          </a:pPr>
          <a:r>
            <a:rPr lang="en-US" sz="1200" kern="1200">
              <a:latin typeface="Cambria" pitchFamily="18" charset="0"/>
            </a:rPr>
            <a:t>Day to day administration, operations and maintenance.</a:t>
          </a:r>
        </a:p>
      </dsp:txBody>
      <dsp:txXfrm>
        <a:off x="942029" y="1817324"/>
        <a:ext cx="4777582" cy="641477"/>
      </dsp:txXfrm>
    </dsp:sp>
    <dsp:sp modelId="{745FEDA5-C120-BD43-BD21-C50ACC76B43A}">
      <dsp:nvSpPr>
        <dsp:cNvPr id="0" name=""/>
        <dsp:cNvSpPr/>
      </dsp:nvSpPr>
      <dsp:spPr>
        <a:xfrm>
          <a:off x="850738" y="2458802"/>
          <a:ext cx="4868874" cy="0"/>
        </a:xfrm>
        <a:prstGeom prst="line">
          <a:avLst/>
        </a:prstGeom>
        <a:solidFill>
          <a:schemeClr val="accent1">
            <a:hueOff val="0"/>
            <a:satOff val="0"/>
            <a:lumOff val="0"/>
            <a:alphaOff val="0"/>
          </a:schemeClr>
        </a:solidFill>
        <a:ln w="25400" cap="flat" cmpd="dbl" algn="ctr">
          <a:solidFill>
            <a:schemeClr val="accent1">
              <a:tint val="50000"/>
              <a:hueOff val="0"/>
              <a:satOff val="0"/>
              <a:lumOff val="0"/>
              <a:alphaOff val="0"/>
            </a:schemeClr>
          </a:solidFill>
          <a:prstDash val="solid"/>
        </a:ln>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27C16C54BA647AACD3E2BA3A2C6B5"/>
        <w:category>
          <w:name w:val="General"/>
          <w:gallery w:val="placeholder"/>
        </w:category>
        <w:types>
          <w:type w:val="bbPlcHdr"/>
        </w:types>
        <w:behaviors>
          <w:behavior w:val="content"/>
        </w:behaviors>
        <w:guid w:val="{A3A8B333-67E1-5B49-B283-B37257B62CE3}"/>
      </w:docPartPr>
      <w:docPartBody>
        <w:p w:rsidR="009848DC" w:rsidRDefault="00326283" w:rsidP="00326283">
          <w:pPr>
            <w:pStyle w:val="B1727C16C54BA647AACD3E2BA3A2C6B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ˆøªÜÂ">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83"/>
    <w:rsid w:val="0001514D"/>
    <w:rsid w:val="000A4ADD"/>
    <w:rsid w:val="002E4A8A"/>
    <w:rsid w:val="002E7B93"/>
    <w:rsid w:val="00326283"/>
    <w:rsid w:val="003C4465"/>
    <w:rsid w:val="0052697C"/>
    <w:rsid w:val="005C2FEE"/>
    <w:rsid w:val="00607650"/>
    <w:rsid w:val="006E00B1"/>
    <w:rsid w:val="007C6DC8"/>
    <w:rsid w:val="00925333"/>
    <w:rsid w:val="009817B8"/>
    <w:rsid w:val="009848DC"/>
    <w:rsid w:val="00AE44CE"/>
    <w:rsid w:val="00AF6CDF"/>
    <w:rsid w:val="00BD26D2"/>
    <w:rsid w:val="00E845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27C16C54BA647AACD3E2BA3A2C6B5">
    <w:name w:val="B1727C16C54BA647AACD3E2BA3A2C6B5"/>
    <w:rsid w:val="00326283"/>
  </w:style>
  <w:style w:type="paragraph" w:customStyle="1" w:styleId="4A71D8639E692C4D8D9D9C4286AF7E23">
    <w:name w:val="4A71D8639E692C4D8D9D9C4286AF7E23"/>
    <w:rsid w:val="003262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27C16C54BA647AACD3E2BA3A2C6B5">
    <w:name w:val="B1727C16C54BA647AACD3E2BA3A2C6B5"/>
    <w:rsid w:val="00326283"/>
  </w:style>
  <w:style w:type="paragraph" w:customStyle="1" w:styleId="4A71D8639E692C4D8D9D9C4286AF7E23">
    <w:name w:val="4A71D8639E692C4D8D9D9C4286AF7E23"/>
    <w:rsid w:val="00326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5625-9CB2-44D2-AEFE-36AFB085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7478</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GUIDANCE NOTE: DESIGNING SUSTAINABLE RURAL WATER SUPPLY SERVICES</vt:lpstr>
    </vt:vector>
  </TitlesOfParts>
  <Company>Even Flow Consultant Services</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DESIGNING SUSTAINABLE RURAL WATER SUPPLY SERVICES</dc:title>
  <dc:creator>Mark Wolfsbauer</dc:creator>
  <cp:lastModifiedBy>Robert Fraser</cp:lastModifiedBy>
  <cp:revision>2</cp:revision>
  <cp:lastPrinted>2015-05-04T16:45:00Z</cp:lastPrinted>
  <dcterms:created xsi:type="dcterms:W3CDTF">2015-07-14T08:29:00Z</dcterms:created>
  <dcterms:modified xsi:type="dcterms:W3CDTF">2015-07-14T08:29:00Z</dcterms:modified>
</cp:coreProperties>
</file>