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E5" w:rsidRDefault="000B668E" w:rsidP="00E234E5">
      <w:pPr>
        <w:tabs>
          <w:tab w:val="left" w:pos="-426"/>
        </w:tabs>
        <w:jc w:val="left"/>
        <w:rPr>
          <w:rFonts w:ascii="Arial" w:hAnsi="Arial" w:cs="Arial"/>
          <w:b/>
          <w:sz w:val="52"/>
        </w:rPr>
      </w:pPr>
      <w:r w:rsidRPr="00E234E5">
        <w:rPr>
          <w:rFonts w:ascii="Arial" w:hAnsi="Arial" w:cs="Arial"/>
          <w:color w:val="FF0000"/>
          <w:sz w:val="22"/>
          <w:szCs w:val="22"/>
        </w:rPr>
        <w:t xml:space="preserve">International Federation of Red Cross and Red Crescent Societies </w:t>
      </w:r>
    </w:p>
    <w:p w:rsidR="000B668E" w:rsidRPr="00E234E5" w:rsidRDefault="00407E97" w:rsidP="00E234E5">
      <w:pPr>
        <w:tabs>
          <w:tab w:val="left" w:pos="-426"/>
        </w:tabs>
        <w:spacing w:line="276" w:lineRule="auto"/>
        <w:jc w:val="left"/>
        <w:rPr>
          <w:rStyle w:val="Hyperlink"/>
          <w:rFonts w:ascii="Arial" w:hAnsi="Arial" w:cs="Arial"/>
          <w:color w:val="FF0000"/>
          <w:sz w:val="22"/>
          <w:szCs w:val="22"/>
          <w:u w:val="none"/>
        </w:rPr>
      </w:pPr>
      <w:r>
        <w:rPr>
          <w:rFonts w:ascii="Arial" w:hAnsi="Arial" w:cs="Arial"/>
          <w:b/>
          <w:sz w:val="52"/>
        </w:rPr>
        <w:t xml:space="preserve">CONSULTANCY </w:t>
      </w:r>
      <w:r w:rsidR="00E234E5">
        <w:rPr>
          <w:rFonts w:ascii="Arial" w:hAnsi="Arial" w:cs="Arial"/>
          <w:b/>
          <w:sz w:val="52"/>
        </w:rPr>
        <w:t>TERMS OF REFERENCE</w:t>
      </w:r>
      <w:r>
        <w:rPr>
          <w:rFonts w:ascii="Arial" w:hAnsi="Arial" w:cs="Arial"/>
          <w:b/>
          <w:sz w:val="52"/>
        </w:rPr>
        <w:t>:  Revision of IFRC’s guidance on software in long term water and sanitation development programming</w:t>
      </w:r>
    </w:p>
    <w:p w:rsidR="00E234E5" w:rsidRPr="00E234E5" w:rsidRDefault="00E234E5" w:rsidP="00E234E5">
      <w:pPr>
        <w:jc w:val="left"/>
        <w:rPr>
          <w:rFonts w:ascii="Arial" w:hAnsi="Arial" w:cs="Arial"/>
        </w:rPr>
      </w:pPr>
    </w:p>
    <w:p w:rsidR="00E234E5" w:rsidRPr="00E234E5" w:rsidRDefault="00E234E5" w:rsidP="00E234E5">
      <w:pPr>
        <w:jc w:val="left"/>
        <w:rPr>
          <w:rFonts w:ascii="Arial" w:hAnsi="Arial" w:cs="Arial"/>
          <w:b/>
        </w:rPr>
      </w:pPr>
      <w:r w:rsidRPr="00E234E5">
        <w:rPr>
          <w:rFonts w:ascii="Arial" w:hAnsi="Arial" w:cs="Arial"/>
          <w:b/>
        </w:rPr>
        <w:t xml:space="preserve">Terms of </w:t>
      </w:r>
      <w:r w:rsidR="00A041AA">
        <w:rPr>
          <w:rFonts w:ascii="Arial" w:hAnsi="Arial" w:cs="Arial"/>
          <w:b/>
        </w:rPr>
        <w:t>r</w:t>
      </w:r>
      <w:r w:rsidRPr="00E234E5">
        <w:rPr>
          <w:rFonts w:ascii="Arial" w:hAnsi="Arial" w:cs="Arial"/>
          <w:b/>
        </w:rPr>
        <w:t xml:space="preserve">eference for </w:t>
      </w:r>
      <w:r w:rsidR="00A041AA">
        <w:rPr>
          <w:rFonts w:ascii="Arial" w:hAnsi="Arial" w:cs="Arial"/>
          <w:b/>
        </w:rPr>
        <w:t>c</w:t>
      </w:r>
      <w:r w:rsidRPr="00E234E5">
        <w:rPr>
          <w:rFonts w:ascii="Arial" w:hAnsi="Arial" w:cs="Arial"/>
          <w:b/>
        </w:rPr>
        <w:t>onsultancy</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Description: Revision of the IFRC’s publication “The International Federation software tools for long-term water and sanitation planning”.</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Location: Home based with travel to Geneva</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Summary outputs: One guidance docu</w:t>
      </w:r>
      <w:bookmarkStart w:id="0" w:name="_GoBack"/>
      <w:bookmarkEnd w:id="0"/>
      <w:r w:rsidRPr="00C46203">
        <w:rPr>
          <w:rFonts w:ascii="Arial" w:hAnsi="Arial" w:cs="Arial"/>
          <w:sz w:val="20"/>
          <w:szCs w:val="20"/>
        </w:rPr>
        <w:t>ment up to a maximum of 35 pages with rich use of visual aids and clear, uncluttered typeset and layout, together with a final consultant report.</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 xml:space="preserve">Consultant: One external consultant will be engaged by the IFRC to develop the guidance document as per this </w:t>
      </w:r>
      <w:proofErr w:type="spellStart"/>
      <w:r w:rsidRPr="00C46203">
        <w:rPr>
          <w:rFonts w:ascii="Arial" w:hAnsi="Arial" w:cs="Arial"/>
          <w:sz w:val="20"/>
          <w:szCs w:val="20"/>
        </w:rPr>
        <w:t>ToR</w:t>
      </w:r>
      <w:proofErr w:type="spellEnd"/>
      <w:r w:rsidRPr="00C46203">
        <w:rPr>
          <w:rFonts w:ascii="Arial" w:hAnsi="Arial" w:cs="Arial"/>
          <w:sz w:val="20"/>
          <w:szCs w:val="20"/>
        </w:rPr>
        <w:t>.   The Water, Sanitation and Emergency Health Unit of the Geneva Secretariat will guide the process and provide collaboration and feedback to the consultant at key stages.</w:t>
      </w:r>
    </w:p>
    <w:p w:rsidR="00E234E5" w:rsidRPr="00A041AA" w:rsidRDefault="00E234E5" w:rsidP="00A041AA">
      <w:pPr>
        <w:spacing w:before="240"/>
        <w:jc w:val="left"/>
        <w:rPr>
          <w:sz w:val="20"/>
          <w:szCs w:val="20"/>
        </w:rPr>
      </w:pPr>
    </w:p>
    <w:p w:rsidR="00A041AA" w:rsidRDefault="00A041AA" w:rsidP="00E234E5">
      <w:pPr>
        <w:pBdr>
          <w:bottom w:val="single" w:sz="6" w:space="1" w:color="auto"/>
        </w:pBdr>
        <w:jc w:val="left"/>
        <w:rPr>
          <w:rFonts w:ascii="Arial" w:hAnsi="Arial" w:cs="Arial"/>
          <w:b/>
          <w:lang w:eastAsia="en-GB"/>
        </w:rPr>
      </w:pPr>
    </w:p>
    <w:p w:rsidR="00A041AA" w:rsidRDefault="00A041AA" w:rsidP="00E234E5">
      <w:pPr>
        <w:jc w:val="left"/>
        <w:rPr>
          <w:rFonts w:ascii="Arial" w:hAnsi="Arial" w:cs="Arial"/>
          <w:b/>
          <w:lang w:eastAsia="en-GB"/>
        </w:rPr>
      </w:pPr>
    </w:p>
    <w:p w:rsidR="00E234E5" w:rsidRPr="00E234E5" w:rsidRDefault="00E234E5" w:rsidP="00E234E5">
      <w:pPr>
        <w:jc w:val="left"/>
        <w:rPr>
          <w:rFonts w:ascii="Arial" w:hAnsi="Arial" w:cs="Arial"/>
          <w:b/>
          <w:lang w:eastAsia="en-GB"/>
        </w:rPr>
      </w:pPr>
      <w:r w:rsidRPr="00E234E5">
        <w:rPr>
          <w:rFonts w:ascii="Arial" w:hAnsi="Arial" w:cs="Arial"/>
          <w:b/>
          <w:lang w:eastAsia="en-GB"/>
        </w:rPr>
        <w:t xml:space="preserve">Alignment to the </w:t>
      </w:r>
      <w:r>
        <w:rPr>
          <w:rFonts w:ascii="Arial" w:hAnsi="Arial" w:cs="Arial"/>
          <w:b/>
          <w:lang w:eastAsia="en-GB"/>
        </w:rPr>
        <w:t>IFRC’s</w:t>
      </w:r>
      <w:r w:rsidRPr="00E234E5">
        <w:rPr>
          <w:rFonts w:ascii="Arial" w:hAnsi="Arial" w:cs="Arial"/>
          <w:b/>
          <w:lang w:eastAsia="en-GB"/>
        </w:rPr>
        <w:t xml:space="preserve"> </w:t>
      </w:r>
      <w:r w:rsidR="00A041AA">
        <w:rPr>
          <w:rFonts w:ascii="Arial" w:hAnsi="Arial" w:cs="Arial"/>
          <w:b/>
          <w:lang w:eastAsia="en-GB"/>
        </w:rPr>
        <w:t>o</w:t>
      </w:r>
      <w:r w:rsidRPr="00E234E5">
        <w:rPr>
          <w:rFonts w:ascii="Arial" w:hAnsi="Arial" w:cs="Arial"/>
          <w:b/>
          <w:lang w:eastAsia="en-GB"/>
        </w:rPr>
        <w:t xml:space="preserve">bjectives and </w:t>
      </w:r>
      <w:r w:rsidR="00A041AA">
        <w:rPr>
          <w:rFonts w:ascii="Arial" w:hAnsi="Arial" w:cs="Arial"/>
          <w:b/>
          <w:lang w:eastAsia="en-GB"/>
        </w:rPr>
        <w:t>s</w:t>
      </w:r>
      <w:r w:rsidRPr="00E234E5">
        <w:rPr>
          <w:rFonts w:ascii="Arial" w:hAnsi="Arial" w:cs="Arial"/>
          <w:b/>
          <w:lang w:eastAsia="en-GB"/>
        </w:rPr>
        <w:t>trategy</w:t>
      </w:r>
    </w:p>
    <w:p w:rsidR="00E234E5" w:rsidRPr="00C46203" w:rsidRDefault="00C46203" w:rsidP="00A041AA">
      <w:pPr>
        <w:spacing w:before="240"/>
        <w:jc w:val="left"/>
        <w:rPr>
          <w:rFonts w:ascii="Arial" w:hAnsi="Arial" w:cs="Arial"/>
          <w:sz w:val="20"/>
          <w:szCs w:val="20"/>
        </w:rPr>
      </w:pPr>
      <w:bookmarkStart w:id="1" w:name="_Toc248382692"/>
      <w:bookmarkStart w:id="2" w:name="_Toc248521598"/>
      <w:r w:rsidRPr="00C46203">
        <w:rPr>
          <w:rFonts w:ascii="Arial" w:hAnsi="Arial" w:cs="Arial"/>
          <w:sz w:val="20"/>
          <w:szCs w:val="20"/>
        </w:rPr>
        <w:t xml:space="preserve">As water, sanitation and hygiene promotion are of critical importance to human health and dignity, the Federation’s work in this area contributes greatly to strategic aim 2 of Strategy 2020. The important role of hygiene promotion is clearly defined in the Federation’s Water and Sanitation Policy and in key strategic documents.  </w:t>
      </w:r>
    </w:p>
    <w:p w:rsidR="00A041AA" w:rsidRPr="00C46203" w:rsidRDefault="00A041AA" w:rsidP="00E234E5">
      <w:pPr>
        <w:pBdr>
          <w:bottom w:val="single" w:sz="6" w:space="1" w:color="auto"/>
        </w:pBdr>
        <w:jc w:val="left"/>
        <w:rPr>
          <w:rFonts w:ascii="Arial" w:hAnsi="Arial" w:cs="Arial"/>
          <w:b/>
        </w:rPr>
      </w:pPr>
    </w:p>
    <w:p w:rsidR="00A041AA" w:rsidRDefault="00A041AA" w:rsidP="00E234E5">
      <w:pPr>
        <w:jc w:val="left"/>
        <w:rPr>
          <w:rFonts w:ascii="Arial" w:hAnsi="Arial" w:cs="Arial"/>
          <w:b/>
        </w:rPr>
      </w:pPr>
    </w:p>
    <w:p w:rsidR="00E234E5" w:rsidRPr="00E234E5" w:rsidRDefault="00E234E5" w:rsidP="00E234E5">
      <w:pPr>
        <w:jc w:val="left"/>
        <w:rPr>
          <w:rFonts w:ascii="Arial" w:hAnsi="Arial" w:cs="Arial"/>
          <w:b/>
        </w:rPr>
      </w:pPr>
      <w:r w:rsidRPr="00E234E5">
        <w:rPr>
          <w:rFonts w:ascii="Arial" w:hAnsi="Arial" w:cs="Arial"/>
          <w:b/>
        </w:rPr>
        <w:t xml:space="preserve">Project </w:t>
      </w:r>
      <w:r w:rsidR="00A041AA">
        <w:rPr>
          <w:rFonts w:ascii="Arial" w:hAnsi="Arial" w:cs="Arial"/>
          <w:b/>
        </w:rPr>
        <w:t>o</w:t>
      </w:r>
      <w:r w:rsidRPr="00E234E5">
        <w:rPr>
          <w:rFonts w:ascii="Arial" w:hAnsi="Arial" w:cs="Arial"/>
          <w:b/>
        </w:rPr>
        <w:t>bjectives</w:t>
      </w:r>
      <w:bookmarkEnd w:id="1"/>
      <w:bookmarkEnd w:id="2"/>
      <w:r w:rsidRPr="00E234E5">
        <w:rPr>
          <w:rFonts w:ascii="Arial" w:hAnsi="Arial" w:cs="Arial"/>
          <w:b/>
        </w:rPr>
        <w:t xml:space="preserve"> </w:t>
      </w:r>
    </w:p>
    <w:p w:rsidR="00E234E5" w:rsidRPr="00E234E5" w:rsidRDefault="00E234E5" w:rsidP="00E234E5">
      <w:pPr>
        <w:jc w:val="left"/>
        <w:rPr>
          <w:rFonts w:ascii="Arial" w:hAnsi="Arial" w:cs="Arial"/>
          <w:sz w:val="20"/>
          <w:szCs w:val="20"/>
        </w:rPr>
      </w:pP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 xml:space="preserve">When the Federation launched the Global Water and Sanitation Initiative (GWSI) in 2005, a key criterion for GWSI projects was a balance between hardware  and software  activities.  The Federation released a publication providing guidance on software in long term development programmes in 2007.  The document primarily focusses on PHAST and does not include new approaches like Community Led Total Sanitation (CLTS) and the Look Back methodology.  </w:t>
      </w:r>
    </w:p>
    <w:p w:rsidR="00A041AA" w:rsidRPr="00C46203" w:rsidRDefault="00C46203" w:rsidP="00C46203">
      <w:pPr>
        <w:spacing w:before="240"/>
        <w:jc w:val="left"/>
        <w:rPr>
          <w:rFonts w:ascii="Arial" w:hAnsi="Arial" w:cs="Arial"/>
          <w:sz w:val="20"/>
          <w:szCs w:val="20"/>
        </w:rPr>
      </w:pPr>
      <w:r w:rsidRPr="00C46203">
        <w:rPr>
          <w:rFonts w:ascii="Arial" w:hAnsi="Arial" w:cs="Arial"/>
          <w:sz w:val="20"/>
          <w:szCs w:val="20"/>
        </w:rPr>
        <w:t xml:space="preserve">The guidance document needs to be revised to reflect the evolution of hygiene promotion in the developmental context.  This would include new hygiene promotion approaches as well as new tools like RAMP, which is likely to become instrumental in both hygiene promotion and monitoring and evaluation throughout the project cycle.  </w:t>
      </w:r>
    </w:p>
    <w:p w:rsidR="00E234E5" w:rsidRDefault="00E234E5" w:rsidP="00E234E5">
      <w:pPr>
        <w:pBdr>
          <w:bottom w:val="single" w:sz="6" w:space="1" w:color="auto"/>
        </w:pBdr>
        <w:jc w:val="left"/>
        <w:rPr>
          <w:rFonts w:ascii="Arial" w:hAnsi="Arial" w:cs="Arial"/>
          <w:b/>
        </w:rPr>
      </w:pPr>
    </w:p>
    <w:p w:rsidR="00A041AA" w:rsidRDefault="00A041AA" w:rsidP="00E234E5">
      <w:pPr>
        <w:jc w:val="left"/>
        <w:rPr>
          <w:rFonts w:ascii="Arial" w:hAnsi="Arial" w:cs="Arial"/>
          <w:b/>
        </w:rPr>
      </w:pPr>
    </w:p>
    <w:p w:rsidR="00E234E5" w:rsidRPr="00E234E5" w:rsidRDefault="00E234E5" w:rsidP="00E234E5">
      <w:pPr>
        <w:jc w:val="left"/>
        <w:rPr>
          <w:rFonts w:ascii="Arial" w:hAnsi="Arial" w:cs="Arial"/>
          <w:b/>
        </w:rPr>
      </w:pPr>
      <w:r w:rsidRPr="00E234E5">
        <w:rPr>
          <w:rFonts w:ascii="Arial" w:hAnsi="Arial" w:cs="Arial"/>
          <w:b/>
        </w:rPr>
        <w:lastRenderedPageBreak/>
        <w:t xml:space="preserve">Desired </w:t>
      </w:r>
      <w:r w:rsidR="00A041AA">
        <w:rPr>
          <w:rFonts w:ascii="Arial" w:hAnsi="Arial" w:cs="Arial"/>
          <w:b/>
        </w:rPr>
        <w:t>o</w:t>
      </w:r>
      <w:r w:rsidRPr="00E234E5">
        <w:rPr>
          <w:rFonts w:ascii="Arial" w:hAnsi="Arial" w:cs="Arial"/>
          <w:b/>
        </w:rPr>
        <w:t xml:space="preserve">utcomes </w:t>
      </w:r>
    </w:p>
    <w:p w:rsidR="00A041AA" w:rsidRPr="00C46203" w:rsidRDefault="00C46203" w:rsidP="00A041AA">
      <w:pPr>
        <w:spacing w:before="240"/>
        <w:jc w:val="left"/>
        <w:rPr>
          <w:rFonts w:ascii="Arial" w:hAnsi="Arial" w:cs="Arial"/>
          <w:sz w:val="20"/>
          <w:szCs w:val="20"/>
        </w:rPr>
      </w:pPr>
      <w:bookmarkStart w:id="3" w:name="_Toc248382693"/>
      <w:bookmarkStart w:id="4" w:name="_Toc248521599"/>
      <w:r w:rsidRPr="00C46203">
        <w:rPr>
          <w:rFonts w:ascii="Arial" w:hAnsi="Arial" w:cs="Arial"/>
          <w:sz w:val="20"/>
          <w:szCs w:val="20"/>
        </w:rPr>
        <w:t xml:space="preserve">  Revitalize the Federation’s guidance on software in long term development     </w:t>
      </w:r>
    </w:p>
    <w:p w:rsidR="00E234E5" w:rsidRDefault="00E234E5" w:rsidP="00E234E5">
      <w:pPr>
        <w:pBdr>
          <w:bottom w:val="single" w:sz="6" w:space="1" w:color="auto"/>
        </w:pBdr>
        <w:jc w:val="left"/>
        <w:rPr>
          <w:rFonts w:ascii="Arial" w:hAnsi="Arial" w:cs="Arial"/>
          <w:b/>
        </w:rPr>
      </w:pPr>
    </w:p>
    <w:p w:rsidR="00A041AA" w:rsidRDefault="00A041AA" w:rsidP="00E234E5">
      <w:pPr>
        <w:jc w:val="left"/>
        <w:rPr>
          <w:rFonts w:ascii="Arial" w:hAnsi="Arial" w:cs="Arial"/>
          <w:b/>
        </w:rPr>
      </w:pPr>
    </w:p>
    <w:p w:rsidR="00E234E5" w:rsidRPr="00E234E5" w:rsidRDefault="00E234E5" w:rsidP="00E234E5">
      <w:pPr>
        <w:jc w:val="left"/>
        <w:rPr>
          <w:rFonts w:ascii="Arial" w:hAnsi="Arial" w:cs="Arial"/>
          <w:b/>
        </w:rPr>
      </w:pPr>
      <w:r w:rsidRPr="00E234E5">
        <w:rPr>
          <w:rFonts w:ascii="Arial" w:hAnsi="Arial" w:cs="Arial"/>
          <w:b/>
        </w:rPr>
        <w:t>Consultancy outputs</w:t>
      </w:r>
    </w:p>
    <w:p w:rsidR="00E234E5" w:rsidRDefault="00E234E5" w:rsidP="00E234E5">
      <w:pPr>
        <w:pBdr>
          <w:bottom w:val="single" w:sz="6" w:space="1" w:color="auto"/>
        </w:pBdr>
        <w:jc w:val="left"/>
        <w:rPr>
          <w:rFonts w:ascii="Arial" w:hAnsi="Arial" w:cs="Arial"/>
          <w:b/>
        </w:rPr>
      </w:pPr>
    </w:p>
    <w:p w:rsidR="00C46203" w:rsidRPr="00C46203" w:rsidRDefault="00C46203" w:rsidP="00C46203">
      <w:pPr>
        <w:pBdr>
          <w:bottom w:val="single" w:sz="6" w:space="1" w:color="auto"/>
        </w:pBdr>
        <w:jc w:val="left"/>
        <w:rPr>
          <w:rFonts w:ascii="Arial" w:hAnsi="Arial" w:cs="Arial"/>
          <w:sz w:val="20"/>
          <w:szCs w:val="20"/>
        </w:rPr>
      </w:pPr>
      <w:r w:rsidRPr="00C46203">
        <w:rPr>
          <w:rFonts w:ascii="Arial" w:hAnsi="Arial" w:cs="Arial"/>
          <w:sz w:val="20"/>
          <w:szCs w:val="20"/>
        </w:rPr>
        <w:t>The final document will be up to 35 pages in length and the text should be interspersed with visual aids where possible and the typeset and layout should be clear and uncluttered.  The presentation and formatting of the document will be done by the Secretariat and is outside these terms of reference.</w:t>
      </w:r>
    </w:p>
    <w:p w:rsidR="00C46203" w:rsidRPr="00C46203" w:rsidRDefault="00C46203" w:rsidP="00C46203">
      <w:pPr>
        <w:pBdr>
          <w:bottom w:val="single" w:sz="6" w:space="1" w:color="auto"/>
        </w:pBdr>
        <w:jc w:val="left"/>
        <w:rPr>
          <w:rFonts w:ascii="Arial" w:hAnsi="Arial" w:cs="Arial"/>
          <w:sz w:val="20"/>
          <w:szCs w:val="20"/>
        </w:rPr>
      </w:pPr>
    </w:p>
    <w:p w:rsidR="00C46203" w:rsidRPr="00C46203" w:rsidRDefault="00C46203" w:rsidP="00C46203">
      <w:pPr>
        <w:pBdr>
          <w:bottom w:val="single" w:sz="6" w:space="1" w:color="auto"/>
        </w:pBdr>
        <w:jc w:val="left"/>
        <w:rPr>
          <w:rFonts w:ascii="Arial" w:hAnsi="Arial" w:cs="Arial"/>
          <w:sz w:val="20"/>
          <w:szCs w:val="20"/>
        </w:rPr>
      </w:pPr>
      <w:r w:rsidRPr="00C46203">
        <w:rPr>
          <w:rFonts w:ascii="Arial" w:hAnsi="Arial" w:cs="Arial"/>
          <w:sz w:val="20"/>
          <w:szCs w:val="20"/>
        </w:rPr>
        <w:t xml:space="preserve">Along with the guidance, a short report should be drafted outlining the consultant’s recommendations for continuing the process of developing and disseminating relevant and comprehensive guidance for long term developmental water and sanitation programming. It should note limitations from this piece of work and any gaps. Learning captured from stakeholder interview should be documented and attached as an annex to the report. </w:t>
      </w:r>
    </w:p>
    <w:p w:rsidR="00C46203" w:rsidRPr="00C46203" w:rsidRDefault="00C46203" w:rsidP="00C46203">
      <w:pPr>
        <w:pBdr>
          <w:bottom w:val="single" w:sz="6" w:space="1" w:color="auto"/>
        </w:pBdr>
        <w:jc w:val="left"/>
        <w:rPr>
          <w:rFonts w:ascii="Arial" w:hAnsi="Arial" w:cs="Arial"/>
          <w:sz w:val="20"/>
          <w:szCs w:val="20"/>
        </w:rPr>
      </w:pPr>
      <w:r w:rsidRPr="00C46203">
        <w:rPr>
          <w:rFonts w:ascii="Arial" w:hAnsi="Arial" w:cs="Arial"/>
          <w:sz w:val="20"/>
          <w:szCs w:val="20"/>
        </w:rPr>
        <w:t xml:space="preserve">    </w:t>
      </w:r>
    </w:p>
    <w:p w:rsidR="00A041AA" w:rsidRDefault="00A041AA" w:rsidP="00E234E5">
      <w:pPr>
        <w:jc w:val="left"/>
        <w:rPr>
          <w:rFonts w:ascii="Arial" w:hAnsi="Arial" w:cs="Arial"/>
          <w:b/>
        </w:rPr>
      </w:pPr>
    </w:p>
    <w:p w:rsidR="00E234E5" w:rsidRPr="00E234E5" w:rsidRDefault="00E234E5" w:rsidP="00E234E5">
      <w:pPr>
        <w:jc w:val="left"/>
        <w:rPr>
          <w:rFonts w:ascii="Arial" w:hAnsi="Arial" w:cs="Arial"/>
          <w:b/>
        </w:rPr>
      </w:pPr>
      <w:r w:rsidRPr="00E234E5">
        <w:rPr>
          <w:rFonts w:ascii="Arial" w:hAnsi="Arial" w:cs="Arial"/>
          <w:b/>
        </w:rPr>
        <w:t xml:space="preserve">Method of </w:t>
      </w:r>
      <w:r w:rsidR="00A041AA">
        <w:rPr>
          <w:rFonts w:ascii="Arial" w:hAnsi="Arial" w:cs="Arial"/>
          <w:b/>
        </w:rPr>
        <w:t>d</w:t>
      </w:r>
      <w:r w:rsidRPr="00E234E5">
        <w:rPr>
          <w:rFonts w:ascii="Arial" w:hAnsi="Arial" w:cs="Arial"/>
          <w:b/>
        </w:rPr>
        <w:t xml:space="preserve">elivery and </w:t>
      </w:r>
      <w:r w:rsidR="00A041AA">
        <w:rPr>
          <w:rFonts w:ascii="Arial" w:hAnsi="Arial" w:cs="Arial"/>
          <w:b/>
        </w:rPr>
        <w:t>r</w:t>
      </w:r>
      <w:r w:rsidRPr="00E234E5">
        <w:rPr>
          <w:rFonts w:ascii="Arial" w:hAnsi="Arial" w:cs="Arial"/>
          <w:b/>
        </w:rPr>
        <w:t>easons for selecting that method</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Literature review (key resources and technical resources) including those of external partners.</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Discussions with IFRC and National Society WatSan specialists to gather views and experiences from across the membership</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 xml:space="preserve">Key informant interviews with external actors (including donors) have been engaged in large-scale developmental water and sanitation programming </w:t>
      </w:r>
    </w:p>
    <w:p w:rsidR="00C46203" w:rsidRPr="00C46203" w:rsidRDefault="00C46203" w:rsidP="00C46203">
      <w:pPr>
        <w:spacing w:before="240"/>
        <w:jc w:val="left"/>
        <w:rPr>
          <w:rFonts w:ascii="Arial" w:hAnsi="Arial" w:cs="Arial"/>
          <w:sz w:val="20"/>
          <w:szCs w:val="20"/>
        </w:rPr>
      </w:pPr>
      <w:r w:rsidRPr="00C46203">
        <w:rPr>
          <w:rFonts w:ascii="Arial" w:hAnsi="Arial" w:cs="Arial"/>
          <w:sz w:val="20"/>
          <w:szCs w:val="20"/>
        </w:rPr>
        <w:t>Feedback to and from IFRC and NSs to drafts of the guidance</w:t>
      </w:r>
    </w:p>
    <w:p w:rsidR="00A041AA" w:rsidRDefault="00A041AA" w:rsidP="00A041AA">
      <w:pPr>
        <w:spacing w:before="240"/>
        <w:jc w:val="left"/>
        <w:rPr>
          <w:rFonts w:ascii="Arial" w:hAnsi="Arial" w:cs="Arial"/>
          <w:b/>
        </w:rPr>
      </w:pPr>
    </w:p>
    <w:p w:rsidR="00E234E5" w:rsidRDefault="00E234E5" w:rsidP="00E234E5">
      <w:pPr>
        <w:pBdr>
          <w:bottom w:val="single" w:sz="6" w:space="1" w:color="auto"/>
        </w:pBdr>
        <w:jc w:val="left"/>
        <w:rPr>
          <w:rFonts w:ascii="Arial" w:hAnsi="Arial" w:cs="Arial"/>
          <w:b/>
        </w:rPr>
      </w:pPr>
    </w:p>
    <w:p w:rsidR="00A041AA" w:rsidRDefault="00A041AA" w:rsidP="00E234E5">
      <w:pPr>
        <w:jc w:val="left"/>
        <w:rPr>
          <w:rFonts w:ascii="Arial" w:hAnsi="Arial" w:cs="Arial"/>
          <w:b/>
        </w:rPr>
      </w:pPr>
    </w:p>
    <w:p w:rsidR="00E234E5" w:rsidRPr="00E234E5" w:rsidRDefault="00E234E5" w:rsidP="00E234E5">
      <w:pPr>
        <w:jc w:val="left"/>
        <w:rPr>
          <w:rFonts w:ascii="Arial" w:hAnsi="Arial" w:cs="Arial"/>
          <w:b/>
        </w:rPr>
      </w:pPr>
      <w:r w:rsidRPr="00E234E5">
        <w:rPr>
          <w:rFonts w:ascii="Arial" w:hAnsi="Arial" w:cs="Arial"/>
          <w:b/>
        </w:rPr>
        <w:t xml:space="preserve">Support to be provided to the </w:t>
      </w:r>
      <w:r w:rsidR="00A041AA">
        <w:rPr>
          <w:rFonts w:ascii="Arial" w:hAnsi="Arial" w:cs="Arial"/>
          <w:b/>
        </w:rPr>
        <w:t>c</w:t>
      </w:r>
      <w:r w:rsidRPr="00E234E5">
        <w:rPr>
          <w:rFonts w:ascii="Arial" w:hAnsi="Arial" w:cs="Arial"/>
          <w:b/>
        </w:rPr>
        <w:t>onsultant</w:t>
      </w:r>
      <w:bookmarkEnd w:id="3"/>
      <w:bookmarkEnd w:id="4"/>
    </w:p>
    <w:p w:rsidR="00C46203" w:rsidRDefault="00C46203" w:rsidP="00E234E5">
      <w:pPr>
        <w:pBdr>
          <w:bottom w:val="single" w:sz="6" w:space="1" w:color="auto"/>
        </w:pBdr>
        <w:jc w:val="left"/>
        <w:rPr>
          <w:rFonts w:ascii="Arial" w:hAnsi="Arial" w:cs="Arial"/>
          <w:b/>
        </w:rPr>
      </w:pPr>
    </w:p>
    <w:p w:rsidR="00E234E5" w:rsidRPr="00C46203" w:rsidRDefault="00C46203" w:rsidP="00E234E5">
      <w:pPr>
        <w:pBdr>
          <w:bottom w:val="single" w:sz="6" w:space="1" w:color="auto"/>
        </w:pBdr>
        <w:jc w:val="left"/>
        <w:rPr>
          <w:rFonts w:ascii="Arial" w:hAnsi="Arial" w:cs="Arial"/>
          <w:sz w:val="20"/>
          <w:szCs w:val="20"/>
        </w:rPr>
      </w:pPr>
      <w:r w:rsidRPr="00C46203">
        <w:rPr>
          <w:rFonts w:ascii="Arial" w:hAnsi="Arial" w:cs="Arial"/>
          <w:sz w:val="20"/>
          <w:szCs w:val="20"/>
        </w:rPr>
        <w:t xml:space="preserve">Detailed briefing on IFRC water and sanitation programming, introduction to key informants, provision of background material, detailed feedback to the publication.    </w:t>
      </w:r>
    </w:p>
    <w:p w:rsidR="00A041AA" w:rsidRDefault="00A041AA" w:rsidP="00E234E5">
      <w:pPr>
        <w:jc w:val="left"/>
        <w:rPr>
          <w:rFonts w:ascii="Arial" w:hAnsi="Arial" w:cs="Arial"/>
          <w:b/>
        </w:rPr>
      </w:pPr>
    </w:p>
    <w:p w:rsidR="00E234E5" w:rsidRPr="00E234E5" w:rsidRDefault="00E234E5" w:rsidP="00E234E5">
      <w:pPr>
        <w:jc w:val="left"/>
        <w:rPr>
          <w:rFonts w:ascii="Arial" w:hAnsi="Arial" w:cs="Arial"/>
          <w:b/>
        </w:rPr>
      </w:pPr>
      <w:r w:rsidRPr="00E234E5">
        <w:rPr>
          <w:rFonts w:ascii="Arial" w:hAnsi="Arial" w:cs="Arial"/>
          <w:b/>
        </w:rPr>
        <w:t>Schedule for payment of fees</w:t>
      </w:r>
    </w:p>
    <w:p w:rsidR="00E234E5" w:rsidRPr="00E234E5" w:rsidRDefault="00E234E5" w:rsidP="00E234E5">
      <w:pPr>
        <w:jc w:val="left"/>
        <w:rPr>
          <w:rFonts w:ascii="Arial" w:hAnsi="Arial" w:cs="Arial"/>
          <w:sz w:val="20"/>
          <w:szCs w:val="20"/>
        </w:rPr>
      </w:pPr>
      <w:r w:rsidRPr="00E234E5">
        <w:rPr>
          <w:rFonts w:ascii="Arial" w:hAnsi="Arial" w:cs="Arial"/>
          <w:sz w:val="20"/>
          <w:szCs w:val="20"/>
        </w:rPr>
        <w:t>(Indicate deliverables and timeframe, e.g. milestones, reporting deadlines, etc.)</w:t>
      </w:r>
    </w:p>
    <w:p w:rsidR="00E234E5" w:rsidRDefault="00E234E5" w:rsidP="00E234E5">
      <w:pPr>
        <w:pBdr>
          <w:bottom w:val="single" w:sz="6" w:space="1" w:color="auto"/>
        </w:pBdr>
        <w:jc w:val="left"/>
        <w:rPr>
          <w:rFonts w:ascii="Arial" w:hAnsi="Arial" w:cs="Arial"/>
          <w:b/>
        </w:rPr>
      </w:pPr>
      <w:bookmarkStart w:id="5" w:name="_Toc248382695"/>
      <w:bookmarkStart w:id="6" w:name="_Toc248521601"/>
    </w:p>
    <w:p w:rsidR="00A041AA" w:rsidRDefault="00A041AA" w:rsidP="00E234E5">
      <w:pPr>
        <w:jc w:val="left"/>
        <w:rPr>
          <w:rFonts w:ascii="Arial" w:hAnsi="Arial" w:cs="Arial"/>
          <w:b/>
        </w:rPr>
      </w:pPr>
    </w:p>
    <w:p w:rsidR="00E234E5" w:rsidRPr="00E234E5" w:rsidRDefault="00E234E5" w:rsidP="00E234E5">
      <w:pPr>
        <w:jc w:val="left"/>
        <w:rPr>
          <w:rFonts w:ascii="Arial" w:hAnsi="Arial" w:cs="Arial"/>
          <w:b/>
        </w:rPr>
      </w:pPr>
      <w:r w:rsidRPr="00E234E5">
        <w:rPr>
          <w:rFonts w:ascii="Arial" w:hAnsi="Arial" w:cs="Arial"/>
          <w:b/>
        </w:rPr>
        <w:t xml:space="preserve">Time Allocation, for </w:t>
      </w:r>
      <w:r w:rsidR="00A041AA">
        <w:rPr>
          <w:rFonts w:ascii="Arial" w:hAnsi="Arial" w:cs="Arial"/>
          <w:b/>
        </w:rPr>
        <w:t>b</w:t>
      </w:r>
      <w:r w:rsidRPr="00E234E5">
        <w:rPr>
          <w:rFonts w:ascii="Arial" w:hAnsi="Arial" w:cs="Arial"/>
          <w:b/>
        </w:rPr>
        <w:t xml:space="preserve">udget </w:t>
      </w:r>
      <w:r w:rsidR="00A041AA">
        <w:rPr>
          <w:rFonts w:ascii="Arial" w:hAnsi="Arial" w:cs="Arial"/>
          <w:b/>
        </w:rPr>
        <w:t>p</w:t>
      </w:r>
      <w:r w:rsidRPr="00E234E5">
        <w:rPr>
          <w:rFonts w:ascii="Arial" w:hAnsi="Arial" w:cs="Arial"/>
          <w:b/>
        </w:rPr>
        <w:t>urposes</w:t>
      </w:r>
      <w:bookmarkEnd w:id="5"/>
      <w:bookmarkEnd w:id="6"/>
    </w:p>
    <w:p w:rsidR="00A041AA" w:rsidRDefault="00A041AA" w:rsidP="00A041AA">
      <w:pPr>
        <w:spacing w:before="240"/>
        <w:jc w:val="left"/>
        <w:rPr>
          <w:rFonts w:ascii="Arial" w:hAnsi="Arial" w:cs="Arial"/>
          <w:b/>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234E5" w:rsidRDefault="00E234E5" w:rsidP="00E234E5">
      <w:pPr>
        <w:pBdr>
          <w:bottom w:val="single" w:sz="6" w:space="1" w:color="auto"/>
        </w:pBdr>
        <w:jc w:val="left"/>
        <w:rPr>
          <w:rFonts w:ascii="Arial" w:hAnsi="Arial" w:cs="Arial"/>
        </w:rPr>
      </w:pPr>
    </w:p>
    <w:p w:rsidR="00A041AA" w:rsidRDefault="00A041AA" w:rsidP="00E234E5">
      <w:pPr>
        <w:jc w:val="left"/>
        <w:rPr>
          <w:rFonts w:ascii="Arial" w:hAnsi="Arial" w:cs="Arial"/>
          <w:b/>
        </w:rPr>
      </w:pPr>
      <w:bookmarkStart w:id="7" w:name="_Toc248382696"/>
      <w:bookmarkStart w:id="8" w:name="_Toc248521602"/>
    </w:p>
    <w:p w:rsidR="00E234E5" w:rsidRPr="00E234E5" w:rsidRDefault="00E234E5" w:rsidP="00E234E5">
      <w:pPr>
        <w:jc w:val="left"/>
        <w:rPr>
          <w:rFonts w:ascii="Arial" w:hAnsi="Arial" w:cs="Arial"/>
          <w:b/>
        </w:rPr>
      </w:pPr>
      <w:r w:rsidRPr="00E234E5">
        <w:rPr>
          <w:rFonts w:ascii="Arial" w:hAnsi="Arial" w:cs="Arial"/>
          <w:b/>
        </w:rPr>
        <w:t xml:space="preserve">Management of </w:t>
      </w:r>
      <w:r w:rsidR="00A041AA">
        <w:rPr>
          <w:rFonts w:ascii="Arial" w:hAnsi="Arial" w:cs="Arial"/>
          <w:b/>
        </w:rPr>
        <w:t>c</w:t>
      </w:r>
      <w:r w:rsidRPr="00E234E5">
        <w:rPr>
          <w:rFonts w:ascii="Arial" w:hAnsi="Arial" w:cs="Arial"/>
          <w:b/>
        </w:rPr>
        <w:t>onsultancy</w:t>
      </w:r>
      <w:bookmarkEnd w:id="7"/>
      <w:bookmarkEnd w:id="8"/>
    </w:p>
    <w:p w:rsidR="00A041AA" w:rsidRDefault="00A041AA" w:rsidP="00A041AA">
      <w:pPr>
        <w:spacing w:before="240"/>
        <w:jc w:val="left"/>
        <w:rPr>
          <w:rFonts w:ascii="Arial" w:hAnsi="Arial" w:cs="Arial"/>
          <w:b/>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234E5" w:rsidRPr="00E234E5" w:rsidRDefault="00E234E5" w:rsidP="00E234E5">
      <w:pPr>
        <w:pBdr>
          <w:bottom w:val="single" w:sz="6" w:space="1" w:color="auto"/>
        </w:pBdr>
        <w:jc w:val="left"/>
        <w:rPr>
          <w:rFonts w:ascii="Arial" w:hAnsi="Arial" w:cs="Arial"/>
        </w:rPr>
      </w:pPr>
    </w:p>
    <w:p w:rsidR="00A041AA" w:rsidRPr="00A041AA" w:rsidRDefault="00A041AA" w:rsidP="00E234E5">
      <w:pPr>
        <w:jc w:val="left"/>
        <w:rPr>
          <w:rFonts w:ascii="Arial" w:hAnsi="Arial" w:cs="Arial"/>
          <w:b/>
          <w:sz w:val="20"/>
          <w:szCs w:val="20"/>
          <w:u w:val="single"/>
        </w:rPr>
      </w:pPr>
    </w:p>
    <w:p w:rsidR="00E234E5" w:rsidRPr="00A041AA" w:rsidRDefault="00E234E5" w:rsidP="00E234E5">
      <w:pPr>
        <w:jc w:val="left"/>
        <w:rPr>
          <w:rFonts w:ascii="Arial" w:hAnsi="Arial" w:cs="Arial"/>
          <w:b/>
          <w:i/>
          <w:sz w:val="20"/>
          <w:szCs w:val="20"/>
          <w:u w:val="single"/>
        </w:rPr>
      </w:pPr>
      <w:r w:rsidRPr="00A041AA">
        <w:rPr>
          <w:rFonts w:ascii="Arial" w:hAnsi="Arial" w:cs="Arial"/>
          <w:b/>
          <w:i/>
          <w:sz w:val="20"/>
          <w:szCs w:val="20"/>
          <w:u w:val="single"/>
        </w:rPr>
        <w:t>Notes</w:t>
      </w:r>
    </w:p>
    <w:p w:rsidR="00E234E5" w:rsidRPr="00A041AA" w:rsidRDefault="00E234E5" w:rsidP="00E234E5">
      <w:pPr>
        <w:jc w:val="left"/>
        <w:rPr>
          <w:rFonts w:ascii="Arial" w:hAnsi="Arial" w:cs="Arial"/>
          <w:i/>
          <w:sz w:val="20"/>
          <w:szCs w:val="20"/>
          <w:u w:val="single"/>
        </w:rPr>
      </w:pPr>
    </w:p>
    <w:p w:rsidR="00E234E5" w:rsidRPr="00A041AA" w:rsidRDefault="00E234E5" w:rsidP="00A041AA">
      <w:pPr>
        <w:numPr>
          <w:ilvl w:val="0"/>
          <w:numId w:val="14"/>
        </w:numPr>
        <w:jc w:val="left"/>
        <w:rPr>
          <w:rFonts w:ascii="Arial" w:hAnsi="Arial" w:cs="Arial"/>
          <w:i/>
          <w:sz w:val="20"/>
          <w:szCs w:val="20"/>
        </w:rPr>
      </w:pPr>
      <w:r w:rsidRPr="00A041AA">
        <w:rPr>
          <w:rFonts w:ascii="Arial" w:hAnsi="Arial" w:cs="Arial"/>
          <w:i/>
          <w:sz w:val="20"/>
          <w:szCs w:val="20"/>
        </w:rPr>
        <w:t>The consultant will be contracted by the IFRC and the standard contractual terms will apply.</w:t>
      </w:r>
    </w:p>
    <w:p w:rsidR="00E234E5" w:rsidRPr="00A041AA" w:rsidRDefault="00E234E5" w:rsidP="00A041AA">
      <w:pPr>
        <w:jc w:val="left"/>
        <w:rPr>
          <w:rFonts w:ascii="Arial" w:hAnsi="Arial" w:cs="Arial"/>
          <w:i/>
          <w:sz w:val="20"/>
          <w:szCs w:val="20"/>
        </w:rPr>
      </w:pPr>
    </w:p>
    <w:p w:rsidR="00E234E5" w:rsidRPr="00A041AA" w:rsidRDefault="00E234E5" w:rsidP="00A041AA">
      <w:pPr>
        <w:numPr>
          <w:ilvl w:val="0"/>
          <w:numId w:val="14"/>
        </w:numPr>
        <w:jc w:val="left"/>
        <w:rPr>
          <w:rFonts w:ascii="Arial" w:hAnsi="Arial" w:cs="Arial"/>
          <w:i/>
          <w:sz w:val="20"/>
          <w:szCs w:val="20"/>
        </w:rPr>
      </w:pPr>
      <w:r w:rsidRPr="00A041AA">
        <w:rPr>
          <w:rFonts w:ascii="Arial" w:hAnsi="Arial" w:cs="Arial"/>
          <w:i/>
          <w:sz w:val="20"/>
          <w:szCs w:val="20"/>
        </w:rPr>
        <w:t>The budget is (</w:t>
      </w:r>
      <w:r w:rsidRPr="00A041AA">
        <w:rPr>
          <w:rFonts w:ascii="Arial" w:hAnsi="Arial" w:cs="Arial"/>
          <w:i/>
          <w:sz w:val="20"/>
          <w:szCs w:val="20"/>
          <w:highlight w:val="lightGray"/>
        </w:rPr>
        <w:t>insert figure</w:t>
      </w:r>
      <w:r w:rsidRPr="00A041AA">
        <w:rPr>
          <w:rFonts w:ascii="Arial" w:hAnsi="Arial" w:cs="Arial"/>
          <w:i/>
          <w:sz w:val="20"/>
          <w:szCs w:val="20"/>
        </w:rPr>
        <w:t>).</w:t>
      </w:r>
    </w:p>
    <w:p w:rsidR="00E234E5" w:rsidRPr="00A041AA" w:rsidRDefault="00E234E5" w:rsidP="00A041AA">
      <w:pPr>
        <w:jc w:val="left"/>
        <w:rPr>
          <w:rFonts w:ascii="Arial" w:hAnsi="Arial" w:cs="Arial"/>
          <w:i/>
          <w:sz w:val="20"/>
          <w:szCs w:val="20"/>
        </w:rPr>
      </w:pPr>
    </w:p>
    <w:p w:rsidR="00E234E5" w:rsidRPr="00A041AA" w:rsidRDefault="00E234E5" w:rsidP="00A041AA">
      <w:pPr>
        <w:numPr>
          <w:ilvl w:val="0"/>
          <w:numId w:val="14"/>
        </w:numPr>
        <w:jc w:val="left"/>
        <w:rPr>
          <w:rFonts w:ascii="Arial" w:hAnsi="Arial" w:cs="Arial"/>
          <w:i/>
          <w:sz w:val="20"/>
          <w:szCs w:val="20"/>
        </w:rPr>
      </w:pPr>
      <w:r w:rsidRPr="00A041AA">
        <w:rPr>
          <w:rFonts w:ascii="Arial" w:hAnsi="Arial" w:cs="Arial"/>
          <w:i/>
          <w:sz w:val="20"/>
          <w:szCs w:val="20"/>
        </w:rPr>
        <w:t>Agreed travel expenses will be reimbursed at cost in accordance with in the IFRC’s relevant regulations.</w:t>
      </w:r>
    </w:p>
    <w:p w:rsidR="00E234E5" w:rsidRPr="00A041AA" w:rsidRDefault="00E234E5" w:rsidP="00A041AA">
      <w:pPr>
        <w:jc w:val="left"/>
        <w:rPr>
          <w:rFonts w:ascii="Arial" w:hAnsi="Arial" w:cs="Arial"/>
          <w:i/>
          <w:sz w:val="20"/>
          <w:szCs w:val="20"/>
        </w:rPr>
      </w:pPr>
    </w:p>
    <w:p w:rsidR="00E234E5" w:rsidRPr="00A041AA" w:rsidRDefault="00E234E5" w:rsidP="00A041AA">
      <w:pPr>
        <w:numPr>
          <w:ilvl w:val="0"/>
          <w:numId w:val="14"/>
        </w:numPr>
        <w:jc w:val="left"/>
        <w:rPr>
          <w:rFonts w:ascii="Arial" w:hAnsi="Arial" w:cs="Arial"/>
          <w:i/>
          <w:sz w:val="20"/>
          <w:szCs w:val="20"/>
        </w:rPr>
      </w:pPr>
      <w:r w:rsidRPr="00A041AA">
        <w:rPr>
          <w:rFonts w:ascii="Arial" w:hAnsi="Arial" w:cs="Arial"/>
          <w:i/>
          <w:sz w:val="20"/>
          <w:szCs w:val="20"/>
        </w:rPr>
        <w:t>(</w:t>
      </w:r>
      <w:r w:rsidRPr="00A041AA">
        <w:rPr>
          <w:rFonts w:ascii="Arial" w:hAnsi="Arial" w:cs="Arial"/>
          <w:i/>
          <w:sz w:val="20"/>
          <w:szCs w:val="20"/>
          <w:highlight w:val="lightGray"/>
        </w:rPr>
        <w:t xml:space="preserve">Insert name of project sponsor, the IFRC, </w:t>
      </w:r>
      <w:r w:rsidR="00A041AA">
        <w:rPr>
          <w:rFonts w:ascii="Arial" w:hAnsi="Arial" w:cs="Arial"/>
          <w:i/>
          <w:sz w:val="20"/>
          <w:szCs w:val="20"/>
          <w:highlight w:val="lightGray"/>
        </w:rPr>
        <w:t>d</w:t>
      </w:r>
      <w:r w:rsidRPr="00A041AA">
        <w:rPr>
          <w:rFonts w:ascii="Arial" w:hAnsi="Arial" w:cs="Arial"/>
          <w:i/>
          <w:sz w:val="20"/>
          <w:szCs w:val="20"/>
          <w:highlight w:val="lightGray"/>
        </w:rPr>
        <w:t>ate</w:t>
      </w:r>
      <w:r w:rsidRPr="00A041AA">
        <w:rPr>
          <w:rFonts w:ascii="Arial" w:hAnsi="Arial" w:cs="Arial"/>
          <w:i/>
          <w:sz w:val="20"/>
          <w:szCs w:val="20"/>
        </w:rPr>
        <w:t>)</w:t>
      </w:r>
    </w:p>
    <w:p w:rsidR="00E234E5" w:rsidRPr="00E234E5" w:rsidRDefault="00E234E5" w:rsidP="00E234E5">
      <w:pPr>
        <w:jc w:val="left"/>
        <w:rPr>
          <w:rFonts w:ascii="Arial" w:hAnsi="Arial" w:cs="Arial"/>
        </w:rPr>
      </w:pPr>
    </w:p>
    <w:p w:rsidR="00382F6B" w:rsidRPr="00E234E5" w:rsidRDefault="00382F6B" w:rsidP="00E234E5">
      <w:pPr>
        <w:pStyle w:val="Subtitleboldcenterednotintoc"/>
        <w:jc w:val="left"/>
        <w:rPr>
          <w:rFonts w:cs="Arial"/>
          <w:i/>
        </w:rPr>
      </w:pPr>
    </w:p>
    <w:sectPr w:rsidR="00382F6B" w:rsidRPr="00E234E5" w:rsidSect="00A041AA">
      <w:footerReference w:type="default" r:id="rId8"/>
      <w:pgSz w:w="11906" w:h="16838" w:code="9"/>
      <w:pgMar w:top="1276" w:right="1418" w:bottom="1560" w:left="1418" w:header="709" w:footer="893" w:gutter="0"/>
      <w:paperSrc w:firs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8C" w:rsidRDefault="00D15B8C" w:rsidP="00B5263B">
      <w:r>
        <w:separator/>
      </w:r>
    </w:p>
  </w:endnote>
  <w:endnote w:type="continuationSeparator" w:id="0">
    <w:p w:rsidR="00D15B8C" w:rsidRDefault="00D15B8C" w:rsidP="00B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80" w:rsidRPr="005051AC" w:rsidRDefault="005051AC" w:rsidP="00362851">
    <w:pPr>
      <w:pStyle w:val="Footer"/>
      <w:rPr>
        <w:sz w:val="16"/>
        <w:szCs w:val="16"/>
      </w:rPr>
    </w:pPr>
    <w:r w:rsidRPr="005051AC">
      <w:rPr>
        <w:sz w:val="16"/>
        <w:szCs w:val="16"/>
      </w:rPr>
      <w:t>Version 1</w:t>
    </w:r>
    <w:r w:rsidRPr="005051AC">
      <w:rPr>
        <w:sz w:val="16"/>
        <w:szCs w:val="16"/>
        <w:vertAlign w:val="superscript"/>
      </w:rPr>
      <w:t>st</w:t>
    </w:r>
    <w:r w:rsidRPr="005051AC">
      <w:rPr>
        <w:sz w:val="16"/>
        <w:szCs w:val="16"/>
      </w:rPr>
      <w:t xml:space="preserve"> April 2013</w:t>
    </w:r>
  </w:p>
  <w:p w:rsidR="00385C80" w:rsidRDefault="00043D93" w:rsidP="000B668E">
    <w:pPr>
      <w:pStyle w:val="Footer"/>
    </w:pPr>
    <w:r>
      <w:rPr>
        <w:rFonts w:cs="Arial"/>
        <w:noProof/>
        <w:sz w:val="20"/>
        <w:szCs w:val="20"/>
        <w:lang w:eastAsia="en-GB"/>
      </w:rPr>
      <w:drawing>
        <wp:anchor distT="0" distB="0" distL="114300" distR="114300" simplePos="0" relativeHeight="251657728" behindDoc="0" locked="0" layoutInCell="1" allowOverlap="1">
          <wp:simplePos x="0" y="0"/>
          <wp:positionH relativeFrom="column">
            <wp:posOffset>-548005</wp:posOffset>
          </wp:positionH>
          <wp:positionV relativeFrom="paragraph">
            <wp:posOffset>42545</wp:posOffset>
          </wp:positionV>
          <wp:extent cx="6972300" cy="580390"/>
          <wp:effectExtent l="0" t="0" r="0" b="0"/>
          <wp:wrapNone/>
          <wp:docPr id="1" name="Picture 2" descr="IFRC-tagline-logo-E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C-tagline-logo-EN-2011.jpg"/>
                  <pic:cNvPicPr>
                    <a:picLocks noChangeAspect="1" noChangeArrowheads="1"/>
                  </pic:cNvPicPr>
                </pic:nvPicPr>
                <pic:blipFill>
                  <a:blip r:embed="rId1">
                    <a:extLst>
                      <a:ext uri="{28A0092B-C50C-407E-A947-70E740481C1C}">
                        <a14:useLocalDpi xmlns:a14="http://schemas.microsoft.com/office/drawing/2010/main" val="0"/>
                      </a:ext>
                    </a:extLst>
                  </a:blip>
                  <a:srcRect t="19824"/>
                  <a:stretch>
                    <a:fillRect/>
                  </a:stretch>
                </pic:blipFill>
                <pic:spPr bwMode="auto">
                  <a:xfrm>
                    <a:off x="0" y="0"/>
                    <a:ext cx="6972300" cy="580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8C" w:rsidRDefault="00D15B8C" w:rsidP="00B5263B">
      <w:r>
        <w:separator/>
      </w:r>
    </w:p>
  </w:footnote>
  <w:footnote w:type="continuationSeparator" w:id="0">
    <w:p w:rsidR="00D15B8C" w:rsidRDefault="00D15B8C" w:rsidP="00B5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061B1"/>
    <w:multiLevelType w:val="hybridMultilevel"/>
    <w:tmpl w:val="2EA009A0"/>
    <w:lvl w:ilvl="0" w:tplc="9DBEEFDA">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84850D4"/>
    <w:multiLevelType w:val="hybridMultilevel"/>
    <w:tmpl w:val="5CB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8B145D"/>
    <w:multiLevelType w:val="hybridMultilevel"/>
    <w:tmpl w:val="DF404184"/>
    <w:lvl w:ilvl="0" w:tplc="7B7A560E">
      <w:start w:val="1"/>
      <w:numFmt w:val="bullet"/>
      <w:lvlText w:val=""/>
      <w:lvlJc w:val="left"/>
      <w:pPr>
        <w:tabs>
          <w:tab w:val="num" w:pos="405"/>
        </w:tabs>
        <w:ind w:left="405" w:hanging="360"/>
      </w:pPr>
      <w:rPr>
        <w:rFonts w:ascii="Symbol" w:hAnsi="Symbol" w:hint="default"/>
        <w:color w:val="auto"/>
      </w:rPr>
    </w:lvl>
    <w:lvl w:ilvl="1" w:tplc="7B7A560E">
      <w:start w:val="1"/>
      <w:numFmt w:val="bullet"/>
      <w:lvlText w:val=""/>
      <w:lvlJc w:val="left"/>
      <w:pPr>
        <w:tabs>
          <w:tab w:val="num" w:pos="1125"/>
        </w:tabs>
        <w:ind w:left="1125" w:hanging="360"/>
      </w:pPr>
      <w:rPr>
        <w:rFonts w:ascii="Symbol" w:hAnsi="Symbol" w:hint="default"/>
        <w:color w:val="auto"/>
      </w:r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0">
    <w:nsid w:val="6CF82F38"/>
    <w:multiLevelType w:val="hybridMultilevel"/>
    <w:tmpl w:val="01602102"/>
    <w:lvl w:ilvl="0" w:tplc="38D2222C">
      <w:start w:val="1"/>
      <w:numFmt w:val="decimal"/>
      <w:lvlText w:val="(%1)"/>
      <w:lvlJc w:val="left"/>
      <w:pPr>
        <w:ind w:left="1779" w:hanging="360"/>
      </w:pPr>
    </w:lvl>
    <w:lvl w:ilvl="1" w:tplc="08090019">
      <w:start w:val="1"/>
      <w:numFmt w:val="decimal"/>
      <w:lvlText w:val="%2."/>
      <w:lvlJc w:val="left"/>
      <w:pPr>
        <w:tabs>
          <w:tab w:val="num" w:pos="1419"/>
        </w:tabs>
        <w:ind w:left="1419" w:hanging="360"/>
      </w:pPr>
    </w:lvl>
    <w:lvl w:ilvl="2" w:tplc="0809001B">
      <w:start w:val="1"/>
      <w:numFmt w:val="decimal"/>
      <w:lvlText w:val="%3."/>
      <w:lvlJc w:val="left"/>
      <w:pPr>
        <w:tabs>
          <w:tab w:val="num" w:pos="2139"/>
        </w:tabs>
        <w:ind w:left="2139" w:hanging="360"/>
      </w:pPr>
    </w:lvl>
    <w:lvl w:ilvl="3" w:tplc="0809000F">
      <w:start w:val="1"/>
      <w:numFmt w:val="decimal"/>
      <w:lvlText w:val="%4."/>
      <w:lvlJc w:val="left"/>
      <w:pPr>
        <w:tabs>
          <w:tab w:val="num" w:pos="2859"/>
        </w:tabs>
        <w:ind w:left="2859" w:hanging="360"/>
      </w:pPr>
    </w:lvl>
    <w:lvl w:ilvl="4" w:tplc="08090019">
      <w:start w:val="1"/>
      <w:numFmt w:val="decimal"/>
      <w:lvlText w:val="%5."/>
      <w:lvlJc w:val="left"/>
      <w:pPr>
        <w:tabs>
          <w:tab w:val="num" w:pos="3579"/>
        </w:tabs>
        <w:ind w:left="3579" w:hanging="360"/>
      </w:pPr>
    </w:lvl>
    <w:lvl w:ilvl="5" w:tplc="0809001B">
      <w:start w:val="1"/>
      <w:numFmt w:val="decimal"/>
      <w:lvlText w:val="%6."/>
      <w:lvlJc w:val="left"/>
      <w:pPr>
        <w:tabs>
          <w:tab w:val="num" w:pos="4299"/>
        </w:tabs>
        <w:ind w:left="4299" w:hanging="360"/>
      </w:pPr>
    </w:lvl>
    <w:lvl w:ilvl="6" w:tplc="0809000F">
      <w:start w:val="1"/>
      <w:numFmt w:val="decimal"/>
      <w:lvlText w:val="%7."/>
      <w:lvlJc w:val="left"/>
      <w:pPr>
        <w:tabs>
          <w:tab w:val="num" w:pos="5019"/>
        </w:tabs>
        <w:ind w:left="5019" w:hanging="360"/>
      </w:pPr>
    </w:lvl>
    <w:lvl w:ilvl="7" w:tplc="08090019">
      <w:start w:val="1"/>
      <w:numFmt w:val="decimal"/>
      <w:lvlText w:val="%8."/>
      <w:lvlJc w:val="left"/>
      <w:pPr>
        <w:tabs>
          <w:tab w:val="num" w:pos="5739"/>
        </w:tabs>
        <w:ind w:left="5739" w:hanging="360"/>
      </w:pPr>
    </w:lvl>
    <w:lvl w:ilvl="8" w:tplc="0809001B">
      <w:start w:val="1"/>
      <w:numFmt w:val="decimal"/>
      <w:lvlText w:val="%9."/>
      <w:lvlJc w:val="left"/>
      <w:pPr>
        <w:tabs>
          <w:tab w:val="num" w:pos="6459"/>
        </w:tabs>
        <w:ind w:left="6459" w:hanging="360"/>
      </w:pPr>
    </w:lvl>
  </w:abstractNum>
  <w:abstractNum w:abstractNumId="11">
    <w:nsid w:val="706810A1"/>
    <w:multiLevelType w:val="hybridMultilevel"/>
    <w:tmpl w:val="72744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94924"/>
    <w:multiLevelType w:val="hybridMultilevel"/>
    <w:tmpl w:val="72744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7"/>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8"/>
    <w:rsid w:val="00016C8C"/>
    <w:rsid w:val="00043D93"/>
    <w:rsid w:val="000560C2"/>
    <w:rsid w:val="0006355C"/>
    <w:rsid w:val="000B3F38"/>
    <w:rsid w:val="000B668E"/>
    <w:rsid w:val="001015AE"/>
    <w:rsid w:val="001212E8"/>
    <w:rsid w:val="00132D13"/>
    <w:rsid w:val="00143CE6"/>
    <w:rsid w:val="001742E1"/>
    <w:rsid w:val="0019182D"/>
    <w:rsid w:val="001A2C88"/>
    <w:rsid w:val="001B133B"/>
    <w:rsid w:val="00201178"/>
    <w:rsid w:val="00253A11"/>
    <w:rsid w:val="00287DD1"/>
    <w:rsid w:val="002C3AE3"/>
    <w:rsid w:val="00307A49"/>
    <w:rsid w:val="00316682"/>
    <w:rsid w:val="00337FE7"/>
    <w:rsid w:val="00362851"/>
    <w:rsid w:val="00372A97"/>
    <w:rsid w:val="00382F6B"/>
    <w:rsid w:val="00385C80"/>
    <w:rsid w:val="00393000"/>
    <w:rsid w:val="003B579C"/>
    <w:rsid w:val="003E40FE"/>
    <w:rsid w:val="003F009F"/>
    <w:rsid w:val="00404CCA"/>
    <w:rsid w:val="00407E97"/>
    <w:rsid w:val="00460B2D"/>
    <w:rsid w:val="004E37E2"/>
    <w:rsid w:val="005051AC"/>
    <w:rsid w:val="00515BB7"/>
    <w:rsid w:val="00516B5E"/>
    <w:rsid w:val="00532991"/>
    <w:rsid w:val="00536B5E"/>
    <w:rsid w:val="005428A5"/>
    <w:rsid w:val="00571E6E"/>
    <w:rsid w:val="005A2553"/>
    <w:rsid w:val="005D7ACF"/>
    <w:rsid w:val="0064067C"/>
    <w:rsid w:val="00653A0C"/>
    <w:rsid w:val="006830C7"/>
    <w:rsid w:val="006A54E0"/>
    <w:rsid w:val="00730243"/>
    <w:rsid w:val="00752C05"/>
    <w:rsid w:val="00770F73"/>
    <w:rsid w:val="007A286C"/>
    <w:rsid w:val="00865C28"/>
    <w:rsid w:val="008C0C1F"/>
    <w:rsid w:val="008C28CB"/>
    <w:rsid w:val="008C696E"/>
    <w:rsid w:val="00930A88"/>
    <w:rsid w:val="0095185F"/>
    <w:rsid w:val="00997604"/>
    <w:rsid w:val="009B42C3"/>
    <w:rsid w:val="009C3495"/>
    <w:rsid w:val="00A041AA"/>
    <w:rsid w:val="00AF6B53"/>
    <w:rsid w:val="00B05F39"/>
    <w:rsid w:val="00B333CD"/>
    <w:rsid w:val="00B5263B"/>
    <w:rsid w:val="00B60CD1"/>
    <w:rsid w:val="00B62B1D"/>
    <w:rsid w:val="00BA3032"/>
    <w:rsid w:val="00C07244"/>
    <w:rsid w:val="00C27013"/>
    <w:rsid w:val="00C46203"/>
    <w:rsid w:val="00C801B4"/>
    <w:rsid w:val="00C911E7"/>
    <w:rsid w:val="00CC5FE9"/>
    <w:rsid w:val="00D055E4"/>
    <w:rsid w:val="00D15B8C"/>
    <w:rsid w:val="00D95412"/>
    <w:rsid w:val="00DB64E8"/>
    <w:rsid w:val="00DB660D"/>
    <w:rsid w:val="00DE1640"/>
    <w:rsid w:val="00E234E5"/>
    <w:rsid w:val="00E726B5"/>
    <w:rsid w:val="00E9374B"/>
    <w:rsid w:val="00EC1583"/>
    <w:rsid w:val="00F03512"/>
    <w:rsid w:val="00F63FDF"/>
    <w:rsid w:val="00F97E3B"/>
    <w:rsid w:val="00FD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2E8"/>
    <w:pPr>
      <w:jc w:val="both"/>
    </w:pPr>
    <w:rPr>
      <w:sz w:val="24"/>
      <w:szCs w:val="24"/>
      <w:lang w:eastAsia="en-US"/>
    </w:rPr>
  </w:style>
  <w:style w:type="paragraph" w:styleId="Heading1">
    <w:name w:val="heading 1"/>
    <w:basedOn w:val="Normal"/>
    <w:next w:val="Normal"/>
    <w:link w:val="Heading1Char"/>
    <w:autoRedefine/>
    <w:qFormat/>
    <w:rsid w:val="00E234E5"/>
    <w:pPr>
      <w:overflowPunct w:val="0"/>
      <w:autoSpaceDE w:val="0"/>
      <w:autoSpaceDN w:val="0"/>
      <w:adjustRightInd w:val="0"/>
      <w:spacing w:before="360" w:after="120" w:line="276" w:lineRule="auto"/>
      <w:jc w:val="left"/>
      <w:textAlignment w:val="baseline"/>
      <w:outlineLvl w:val="0"/>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F6B"/>
    <w:pPr>
      <w:overflowPunct w:val="0"/>
      <w:autoSpaceDE w:val="0"/>
      <w:autoSpaceDN w:val="0"/>
      <w:adjustRightInd w:val="0"/>
      <w:textAlignment w:val="baseline"/>
    </w:pPr>
  </w:style>
  <w:style w:type="paragraph" w:styleId="ListBullet">
    <w:name w:val="List Bullet"/>
    <w:basedOn w:val="Normal"/>
    <w:autoRedefine/>
    <w:rsid w:val="001212E8"/>
    <w:pPr>
      <w:numPr>
        <w:numId w:val="1"/>
      </w:numPr>
      <w:ind w:left="357" w:hanging="357"/>
    </w:pPr>
  </w:style>
  <w:style w:type="paragraph" w:styleId="ListNumber">
    <w:name w:val="List Number"/>
    <w:basedOn w:val="Normal"/>
    <w:rsid w:val="001212E8"/>
    <w:pPr>
      <w:numPr>
        <w:numId w:val="4"/>
      </w:numPr>
      <w:ind w:left="0" w:firstLine="0"/>
    </w:pPr>
  </w:style>
  <w:style w:type="paragraph" w:styleId="ListNumber2">
    <w:name w:val="List Number 2"/>
    <w:basedOn w:val="Normal"/>
    <w:rsid w:val="001212E8"/>
    <w:pPr>
      <w:numPr>
        <w:numId w:val="5"/>
      </w:numPr>
      <w:ind w:left="641" w:hanging="357"/>
    </w:pPr>
  </w:style>
  <w:style w:type="paragraph" w:customStyle="1" w:styleId="Indent1">
    <w:name w:val="Indent 1"/>
    <w:basedOn w:val="Normal"/>
    <w:rsid w:val="00382F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style>
  <w:style w:type="table" w:styleId="TableGrid">
    <w:name w:val="Table Grid"/>
    <w:basedOn w:val="TableNormal"/>
    <w:rsid w:val="00382F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412"/>
    <w:pPr>
      <w:ind w:left="720"/>
      <w:jc w:val="left"/>
    </w:pPr>
    <w:rPr>
      <w:rFonts w:ascii="Calibri" w:eastAsia="Calibri" w:hAnsi="Calibri"/>
      <w:sz w:val="22"/>
      <w:szCs w:val="22"/>
      <w:lang w:eastAsia="en-GB"/>
    </w:rPr>
  </w:style>
  <w:style w:type="character" w:customStyle="1" w:styleId="BodyTextChar">
    <w:name w:val="Body Text Char"/>
    <w:basedOn w:val="DefaultParagraphFont"/>
    <w:link w:val="BodyText"/>
    <w:rsid w:val="001742E1"/>
    <w:rPr>
      <w:sz w:val="24"/>
      <w:szCs w:val="24"/>
      <w:lang w:eastAsia="en-US"/>
    </w:rPr>
  </w:style>
  <w:style w:type="paragraph" w:styleId="Header">
    <w:name w:val="header"/>
    <w:basedOn w:val="Normal"/>
    <w:link w:val="HeaderChar"/>
    <w:rsid w:val="00B5263B"/>
    <w:pPr>
      <w:tabs>
        <w:tab w:val="center" w:pos="4513"/>
        <w:tab w:val="right" w:pos="9026"/>
      </w:tabs>
    </w:pPr>
  </w:style>
  <w:style w:type="character" w:customStyle="1" w:styleId="HeaderChar">
    <w:name w:val="Header Char"/>
    <w:basedOn w:val="DefaultParagraphFont"/>
    <w:link w:val="Header"/>
    <w:rsid w:val="00B5263B"/>
    <w:rPr>
      <w:sz w:val="24"/>
      <w:szCs w:val="24"/>
      <w:lang w:eastAsia="en-US"/>
    </w:rPr>
  </w:style>
  <w:style w:type="paragraph" w:styleId="Footer">
    <w:name w:val="footer"/>
    <w:basedOn w:val="Normal"/>
    <w:link w:val="FooterChar"/>
    <w:uiPriority w:val="99"/>
    <w:rsid w:val="00B5263B"/>
    <w:pPr>
      <w:tabs>
        <w:tab w:val="center" w:pos="4513"/>
        <w:tab w:val="right" w:pos="9026"/>
      </w:tabs>
    </w:pPr>
  </w:style>
  <w:style w:type="character" w:customStyle="1" w:styleId="FooterChar">
    <w:name w:val="Footer Char"/>
    <w:basedOn w:val="DefaultParagraphFont"/>
    <w:link w:val="Footer"/>
    <w:uiPriority w:val="99"/>
    <w:rsid w:val="00B5263B"/>
    <w:rPr>
      <w:sz w:val="24"/>
      <w:szCs w:val="24"/>
      <w:lang w:eastAsia="en-US"/>
    </w:rPr>
  </w:style>
  <w:style w:type="paragraph" w:styleId="BalloonText">
    <w:name w:val="Balloon Text"/>
    <w:basedOn w:val="Normal"/>
    <w:link w:val="BalloonTextChar"/>
    <w:rsid w:val="00B5263B"/>
    <w:rPr>
      <w:rFonts w:ascii="Tahoma" w:hAnsi="Tahoma" w:cs="Tahoma"/>
      <w:sz w:val="16"/>
      <w:szCs w:val="16"/>
    </w:rPr>
  </w:style>
  <w:style w:type="character" w:customStyle="1" w:styleId="BalloonTextChar">
    <w:name w:val="Balloon Text Char"/>
    <w:basedOn w:val="DefaultParagraphFont"/>
    <w:link w:val="BalloonText"/>
    <w:rsid w:val="00B5263B"/>
    <w:rPr>
      <w:rFonts w:ascii="Tahoma" w:hAnsi="Tahoma" w:cs="Tahoma"/>
      <w:sz w:val="16"/>
      <w:szCs w:val="16"/>
      <w:lang w:eastAsia="en-US"/>
    </w:rPr>
  </w:style>
  <w:style w:type="character" w:styleId="Hyperlink">
    <w:name w:val="Hyperlink"/>
    <w:rsid w:val="000B668E"/>
    <w:rPr>
      <w:color w:val="0000FF"/>
      <w:u w:val="single"/>
    </w:rPr>
  </w:style>
  <w:style w:type="paragraph" w:customStyle="1" w:styleId="Projectsubtitle">
    <w:name w:val="Project subtitle"/>
    <w:basedOn w:val="Normal"/>
    <w:qFormat/>
    <w:rsid w:val="000B668E"/>
    <w:pPr>
      <w:spacing w:before="120"/>
      <w:jc w:val="left"/>
    </w:pPr>
    <w:rPr>
      <w:rFonts w:ascii="Arial Rounded MT Bold" w:eastAsia="Cambria" w:hAnsi="Arial Rounded MT Bold"/>
      <w:sz w:val="22"/>
      <w:lang w:val="en-US"/>
    </w:rPr>
  </w:style>
  <w:style w:type="paragraph" w:customStyle="1" w:styleId="Subtitleboldcenterednotintoc">
    <w:name w:val="Sub title bold centered not in toc"/>
    <w:basedOn w:val="Normal"/>
    <w:rsid w:val="00362851"/>
    <w:pPr>
      <w:spacing w:before="120" w:after="120" w:line="276" w:lineRule="auto"/>
      <w:jc w:val="center"/>
    </w:pPr>
    <w:rPr>
      <w:rFonts w:ascii="Arial" w:hAnsi="Arial"/>
      <w:b/>
      <w:bCs/>
      <w:sz w:val="20"/>
      <w:szCs w:val="20"/>
    </w:rPr>
  </w:style>
  <w:style w:type="paragraph" w:customStyle="1" w:styleId="Subtitleagreementetc">
    <w:name w:val="Subtitle agreement etc"/>
    <w:basedOn w:val="Normal"/>
    <w:qFormat/>
    <w:rsid w:val="00362851"/>
    <w:pPr>
      <w:keepNext/>
      <w:spacing w:before="240" w:after="120" w:line="276" w:lineRule="auto"/>
      <w:jc w:val="left"/>
    </w:pPr>
    <w:rPr>
      <w:rFonts w:ascii="Arial" w:hAnsi="Arial" w:cs="Arial"/>
      <w:b/>
      <w:bCs/>
      <w:sz w:val="22"/>
      <w:szCs w:val="20"/>
    </w:rPr>
  </w:style>
  <w:style w:type="character" w:customStyle="1" w:styleId="Heading1Char">
    <w:name w:val="Heading 1 Char"/>
    <w:basedOn w:val="DefaultParagraphFont"/>
    <w:link w:val="Heading1"/>
    <w:rsid w:val="00E234E5"/>
    <w:rPr>
      <w:rFonts w:ascii="Arial" w:hAnsi="Arial"/>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2E8"/>
    <w:pPr>
      <w:jc w:val="both"/>
    </w:pPr>
    <w:rPr>
      <w:sz w:val="24"/>
      <w:szCs w:val="24"/>
      <w:lang w:eastAsia="en-US"/>
    </w:rPr>
  </w:style>
  <w:style w:type="paragraph" w:styleId="Heading1">
    <w:name w:val="heading 1"/>
    <w:basedOn w:val="Normal"/>
    <w:next w:val="Normal"/>
    <w:link w:val="Heading1Char"/>
    <w:autoRedefine/>
    <w:qFormat/>
    <w:rsid w:val="00E234E5"/>
    <w:pPr>
      <w:overflowPunct w:val="0"/>
      <w:autoSpaceDE w:val="0"/>
      <w:autoSpaceDN w:val="0"/>
      <w:adjustRightInd w:val="0"/>
      <w:spacing w:before="360" w:after="120" w:line="276" w:lineRule="auto"/>
      <w:jc w:val="left"/>
      <w:textAlignment w:val="baseline"/>
      <w:outlineLvl w:val="0"/>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F6B"/>
    <w:pPr>
      <w:overflowPunct w:val="0"/>
      <w:autoSpaceDE w:val="0"/>
      <w:autoSpaceDN w:val="0"/>
      <w:adjustRightInd w:val="0"/>
      <w:textAlignment w:val="baseline"/>
    </w:pPr>
  </w:style>
  <w:style w:type="paragraph" w:styleId="ListBullet">
    <w:name w:val="List Bullet"/>
    <w:basedOn w:val="Normal"/>
    <w:autoRedefine/>
    <w:rsid w:val="001212E8"/>
    <w:pPr>
      <w:numPr>
        <w:numId w:val="1"/>
      </w:numPr>
      <w:ind w:left="357" w:hanging="357"/>
    </w:pPr>
  </w:style>
  <w:style w:type="paragraph" w:styleId="ListNumber">
    <w:name w:val="List Number"/>
    <w:basedOn w:val="Normal"/>
    <w:rsid w:val="001212E8"/>
    <w:pPr>
      <w:numPr>
        <w:numId w:val="4"/>
      </w:numPr>
      <w:ind w:left="0" w:firstLine="0"/>
    </w:pPr>
  </w:style>
  <w:style w:type="paragraph" w:styleId="ListNumber2">
    <w:name w:val="List Number 2"/>
    <w:basedOn w:val="Normal"/>
    <w:rsid w:val="001212E8"/>
    <w:pPr>
      <w:numPr>
        <w:numId w:val="5"/>
      </w:numPr>
      <w:ind w:left="641" w:hanging="357"/>
    </w:pPr>
  </w:style>
  <w:style w:type="paragraph" w:customStyle="1" w:styleId="Indent1">
    <w:name w:val="Indent 1"/>
    <w:basedOn w:val="Normal"/>
    <w:rsid w:val="00382F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style>
  <w:style w:type="table" w:styleId="TableGrid">
    <w:name w:val="Table Grid"/>
    <w:basedOn w:val="TableNormal"/>
    <w:rsid w:val="00382F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412"/>
    <w:pPr>
      <w:ind w:left="720"/>
      <w:jc w:val="left"/>
    </w:pPr>
    <w:rPr>
      <w:rFonts w:ascii="Calibri" w:eastAsia="Calibri" w:hAnsi="Calibri"/>
      <w:sz w:val="22"/>
      <w:szCs w:val="22"/>
      <w:lang w:eastAsia="en-GB"/>
    </w:rPr>
  </w:style>
  <w:style w:type="character" w:customStyle="1" w:styleId="BodyTextChar">
    <w:name w:val="Body Text Char"/>
    <w:basedOn w:val="DefaultParagraphFont"/>
    <w:link w:val="BodyText"/>
    <w:rsid w:val="001742E1"/>
    <w:rPr>
      <w:sz w:val="24"/>
      <w:szCs w:val="24"/>
      <w:lang w:eastAsia="en-US"/>
    </w:rPr>
  </w:style>
  <w:style w:type="paragraph" w:styleId="Header">
    <w:name w:val="header"/>
    <w:basedOn w:val="Normal"/>
    <w:link w:val="HeaderChar"/>
    <w:rsid w:val="00B5263B"/>
    <w:pPr>
      <w:tabs>
        <w:tab w:val="center" w:pos="4513"/>
        <w:tab w:val="right" w:pos="9026"/>
      </w:tabs>
    </w:pPr>
  </w:style>
  <w:style w:type="character" w:customStyle="1" w:styleId="HeaderChar">
    <w:name w:val="Header Char"/>
    <w:basedOn w:val="DefaultParagraphFont"/>
    <w:link w:val="Header"/>
    <w:rsid w:val="00B5263B"/>
    <w:rPr>
      <w:sz w:val="24"/>
      <w:szCs w:val="24"/>
      <w:lang w:eastAsia="en-US"/>
    </w:rPr>
  </w:style>
  <w:style w:type="paragraph" w:styleId="Footer">
    <w:name w:val="footer"/>
    <w:basedOn w:val="Normal"/>
    <w:link w:val="FooterChar"/>
    <w:uiPriority w:val="99"/>
    <w:rsid w:val="00B5263B"/>
    <w:pPr>
      <w:tabs>
        <w:tab w:val="center" w:pos="4513"/>
        <w:tab w:val="right" w:pos="9026"/>
      </w:tabs>
    </w:pPr>
  </w:style>
  <w:style w:type="character" w:customStyle="1" w:styleId="FooterChar">
    <w:name w:val="Footer Char"/>
    <w:basedOn w:val="DefaultParagraphFont"/>
    <w:link w:val="Footer"/>
    <w:uiPriority w:val="99"/>
    <w:rsid w:val="00B5263B"/>
    <w:rPr>
      <w:sz w:val="24"/>
      <w:szCs w:val="24"/>
      <w:lang w:eastAsia="en-US"/>
    </w:rPr>
  </w:style>
  <w:style w:type="paragraph" w:styleId="BalloonText">
    <w:name w:val="Balloon Text"/>
    <w:basedOn w:val="Normal"/>
    <w:link w:val="BalloonTextChar"/>
    <w:rsid w:val="00B5263B"/>
    <w:rPr>
      <w:rFonts w:ascii="Tahoma" w:hAnsi="Tahoma" w:cs="Tahoma"/>
      <w:sz w:val="16"/>
      <w:szCs w:val="16"/>
    </w:rPr>
  </w:style>
  <w:style w:type="character" w:customStyle="1" w:styleId="BalloonTextChar">
    <w:name w:val="Balloon Text Char"/>
    <w:basedOn w:val="DefaultParagraphFont"/>
    <w:link w:val="BalloonText"/>
    <w:rsid w:val="00B5263B"/>
    <w:rPr>
      <w:rFonts w:ascii="Tahoma" w:hAnsi="Tahoma" w:cs="Tahoma"/>
      <w:sz w:val="16"/>
      <w:szCs w:val="16"/>
      <w:lang w:eastAsia="en-US"/>
    </w:rPr>
  </w:style>
  <w:style w:type="character" w:styleId="Hyperlink">
    <w:name w:val="Hyperlink"/>
    <w:rsid w:val="000B668E"/>
    <w:rPr>
      <w:color w:val="0000FF"/>
      <w:u w:val="single"/>
    </w:rPr>
  </w:style>
  <w:style w:type="paragraph" w:customStyle="1" w:styleId="Projectsubtitle">
    <w:name w:val="Project subtitle"/>
    <w:basedOn w:val="Normal"/>
    <w:qFormat/>
    <w:rsid w:val="000B668E"/>
    <w:pPr>
      <w:spacing w:before="120"/>
      <w:jc w:val="left"/>
    </w:pPr>
    <w:rPr>
      <w:rFonts w:ascii="Arial Rounded MT Bold" w:eastAsia="Cambria" w:hAnsi="Arial Rounded MT Bold"/>
      <w:sz w:val="22"/>
      <w:lang w:val="en-US"/>
    </w:rPr>
  </w:style>
  <w:style w:type="paragraph" w:customStyle="1" w:styleId="Subtitleboldcenterednotintoc">
    <w:name w:val="Sub title bold centered not in toc"/>
    <w:basedOn w:val="Normal"/>
    <w:rsid w:val="00362851"/>
    <w:pPr>
      <w:spacing w:before="120" w:after="120" w:line="276" w:lineRule="auto"/>
      <w:jc w:val="center"/>
    </w:pPr>
    <w:rPr>
      <w:rFonts w:ascii="Arial" w:hAnsi="Arial"/>
      <w:b/>
      <w:bCs/>
      <w:sz w:val="20"/>
      <w:szCs w:val="20"/>
    </w:rPr>
  </w:style>
  <w:style w:type="paragraph" w:customStyle="1" w:styleId="Subtitleagreementetc">
    <w:name w:val="Subtitle agreement etc"/>
    <w:basedOn w:val="Normal"/>
    <w:qFormat/>
    <w:rsid w:val="00362851"/>
    <w:pPr>
      <w:keepNext/>
      <w:spacing w:before="240" w:after="120" w:line="276" w:lineRule="auto"/>
      <w:jc w:val="left"/>
    </w:pPr>
    <w:rPr>
      <w:rFonts w:ascii="Arial" w:hAnsi="Arial" w:cs="Arial"/>
      <w:b/>
      <w:bCs/>
      <w:sz w:val="22"/>
      <w:szCs w:val="20"/>
    </w:rPr>
  </w:style>
  <w:style w:type="character" w:customStyle="1" w:styleId="Heading1Char">
    <w:name w:val="Heading 1 Char"/>
    <w:basedOn w:val="DefaultParagraphFont"/>
    <w:link w:val="Heading1"/>
    <w:rsid w:val="00E234E5"/>
    <w:rPr>
      <w:rFonts w:ascii="Arial" w:hAnsi="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7039">
      <w:bodyDiv w:val="1"/>
      <w:marLeft w:val="0"/>
      <w:marRight w:val="0"/>
      <w:marTop w:val="0"/>
      <w:marBottom w:val="0"/>
      <w:divBdr>
        <w:top w:val="none" w:sz="0" w:space="0" w:color="auto"/>
        <w:left w:val="none" w:sz="0" w:space="0" w:color="auto"/>
        <w:bottom w:val="none" w:sz="0" w:space="0" w:color="auto"/>
        <w:right w:val="none" w:sz="0" w:space="0" w:color="auto"/>
      </w:divBdr>
    </w:div>
    <w:div w:id="10314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COMMENT</vt:lpstr>
    </vt:vector>
  </TitlesOfParts>
  <Company>IFRC</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c:title>
  <dc:creator>Veronique SOUCHET</dc:creator>
  <cp:lastModifiedBy>William CARTER</cp:lastModifiedBy>
  <cp:revision>6</cp:revision>
  <cp:lastPrinted>2012-06-22T09:53:00Z</cp:lastPrinted>
  <dcterms:created xsi:type="dcterms:W3CDTF">2015-03-06T13:52:00Z</dcterms:created>
  <dcterms:modified xsi:type="dcterms:W3CDTF">2015-03-09T12:38:00Z</dcterms:modified>
</cp:coreProperties>
</file>