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78826E41" w:rsidR="00681EA5" w:rsidRPr="00285F6D" w:rsidRDefault="001F1600" w:rsidP="00495F92">
      <w:pPr>
        <w:pStyle w:val="Style1"/>
        <w:rPr>
          <w:lang w:val="fr-FR"/>
        </w:rPr>
      </w:pPr>
      <w:r w:rsidRPr="00285F6D">
        <w:rPr>
          <w:lang w:val="fr-FR"/>
        </w:rPr>
        <w:t>OUTIL</w:t>
      </w:r>
      <w:r w:rsidR="009E225A" w:rsidRPr="00285F6D">
        <w:rPr>
          <w:lang w:val="fr-FR"/>
        </w:rPr>
        <w:t xml:space="preserve"> 6</w:t>
      </w:r>
    </w:p>
    <w:p w14:paraId="79F67EE1" w14:textId="5187FC49" w:rsidR="00495F92" w:rsidRPr="001F1600" w:rsidRDefault="001F1600" w:rsidP="00495F92">
      <w:pPr>
        <w:pStyle w:val="Style1"/>
        <w:rPr>
          <w:color w:val="auto"/>
          <w:sz w:val="44"/>
          <w:lang w:val="fr-FR"/>
        </w:rPr>
      </w:pPr>
      <w:r w:rsidRPr="001F1600">
        <w:rPr>
          <w:color w:val="auto"/>
          <w:sz w:val="44"/>
          <w:lang w:val="fr-FR"/>
        </w:rPr>
        <w:t xml:space="preserve">OUTIL </w:t>
      </w:r>
      <w:r w:rsidR="00285F6D">
        <w:rPr>
          <w:color w:val="auto"/>
          <w:sz w:val="44"/>
          <w:lang w:val="fr-FR"/>
        </w:rPr>
        <w:t>É</w:t>
      </w:r>
      <w:r w:rsidRPr="001F1600">
        <w:rPr>
          <w:color w:val="auto"/>
          <w:sz w:val="44"/>
          <w:lang w:val="fr-FR"/>
        </w:rPr>
        <w:t xml:space="preserve">TAPE PAR </w:t>
      </w:r>
      <w:r w:rsidR="00285F6D">
        <w:rPr>
          <w:color w:val="auto"/>
          <w:sz w:val="44"/>
          <w:lang w:val="fr-FR"/>
        </w:rPr>
        <w:t>É</w:t>
      </w:r>
      <w:r w:rsidRPr="001F1600">
        <w:rPr>
          <w:color w:val="auto"/>
          <w:sz w:val="44"/>
          <w:lang w:val="fr-FR"/>
        </w:rPr>
        <w:t>TAPE PO</w:t>
      </w:r>
      <w:r w:rsidR="00285F6D">
        <w:rPr>
          <w:color w:val="auto"/>
          <w:sz w:val="44"/>
          <w:lang w:val="fr-FR"/>
        </w:rPr>
        <w:t>U</w:t>
      </w:r>
      <w:r w:rsidRPr="001F1600">
        <w:rPr>
          <w:color w:val="auto"/>
          <w:sz w:val="44"/>
          <w:lang w:val="fr-FR"/>
        </w:rPr>
        <w:t>R D</w:t>
      </w:r>
      <w:r w:rsidR="00285F6D">
        <w:rPr>
          <w:color w:val="auto"/>
          <w:sz w:val="44"/>
          <w:lang w:val="fr-FR"/>
        </w:rPr>
        <w:t>É</w:t>
      </w:r>
      <w:r w:rsidRPr="001F1600">
        <w:rPr>
          <w:color w:val="auto"/>
          <w:sz w:val="44"/>
          <w:lang w:val="fr-FR"/>
        </w:rPr>
        <w:t xml:space="preserve">FINIR LES ACTIONS </w:t>
      </w:r>
      <w:r w:rsidR="00285F6D" w:rsidRPr="001F1600">
        <w:rPr>
          <w:color w:val="auto"/>
          <w:sz w:val="44"/>
          <w:lang w:val="fr-FR"/>
        </w:rPr>
        <w:t xml:space="preserve">PRIORITAIRES </w:t>
      </w:r>
      <w:r w:rsidRPr="001F1600">
        <w:rPr>
          <w:color w:val="auto"/>
          <w:sz w:val="44"/>
          <w:lang w:val="fr-FR"/>
        </w:rPr>
        <w:t xml:space="preserve">DE GHM </w:t>
      </w:r>
    </w:p>
    <w:p w14:paraId="4501A770" w14:textId="587CC143" w:rsidR="00A55C54" w:rsidRPr="001F1600" w:rsidRDefault="001F1600" w:rsidP="00C10676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="00711650" w:rsidRPr="001F1600">
        <w:rPr>
          <w:b/>
          <w:sz w:val="20"/>
          <w:lang w:val="fr-FR"/>
        </w:rPr>
        <w:t>Hygi</w:t>
      </w:r>
      <w:r w:rsidRPr="001F1600">
        <w:rPr>
          <w:b/>
          <w:sz w:val="20"/>
          <w:lang w:val="fr-FR"/>
        </w:rPr>
        <w:t>è</w:t>
      </w:r>
      <w:r w:rsidR="00711650" w:rsidRPr="001F1600">
        <w:rPr>
          <w:b/>
          <w:sz w:val="20"/>
          <w:lang w:val="fr-FR"/>
        </w:rPr>
        <w:t>ne M</w:t>
      </w:r>
      <w:r w:rsidRPr="001F1600">
        <w:rPr>
          <w:b/>
          <w:sz w:val="20"/>
          <w:lang w:val="fr-FR"/>
        </w:rPr>
        <w:t>enstruelle</w:t>
      </w:r>
      <w:r w:rsidR="00711650" w:rsidRPr="001F1600">
        <w:rPr>
          <w:b/>
          <w:sz w:val="20"/>
          <w:lang w:val="fr-FR"/>
        </w:rPr>
        <w:t xml:space="preserve"> (</w:t>
      </w:r>
      <w:r w:rsidRPr="001F1600">
        <w:rPr>
          <w:b/>
          <w:sz w:val="20"/>
          <w:lang w:val="fr-FR"/>
        </w:rPr>
        <w:t>G</w:t>
      </w:r>
      <w:r w:rsidR="00711650" w:rsidRPr="001F1600">
        <w:rPr>
          <w:b/>
          <w:sz w:val="20"/>
          <w:lang w:val="fr-FR"/>
        </w:rPr>
        <w:t>HM)</w:t>
      </w:r>
      <w:r>
        <w:rPr>
          <w:b/>
          <w:sz w:val="20"/>
          <w:lang w:val="fr-FR"/>
        </w:rPr>
        <w:t xml:space="preserve"> e</w:t>
      </w:r>
      <w:r w:rsidR="00711650" w:rsidRPr="001F1600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C73C52">
        <w:rPr>
          <w:sz w:val="20"/>
          <w:lang w:val="fr-FR"/>
        </w:rPr>
        <w:t>/</w:t>
      </w:r>
      <w:r w:rsidR="001A444B" w:rsidRPr="001F1600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1F1600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041F05" w:rsidRPr="001F1600">
        <w:rPr>
          <w:rFonts w:cs="Arial"/>
          <w:color w:val="595959"/>
          <w:sz w:val="20"/>
          <w:lang w:val="fr-FR"/>
        </w:rPr>
        <w:t xml:space="preserve">ersion </w:t>
      </w:r>
      <w:r w:rsidRPr="001F1600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</w:p>
    <w:p w14:paraId="3D826CF7" w14:textId="4F9B0D21" w:rsidR="00B04B93" w:rsidRPr="001F1600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34B5C703" w:rsidR="00B04B93" w:rsidRPr="00285F6D" w:rsidRDefault="001F1600" w:rsidP="00C10676">
      <w:pPr>
        <w:rPr>
          <w:color w:val="C00000"/>
          <w:sz w:val="28"/>
          <w:lang w:val="fr-FR"/>
        </w:rPr>
      </w:pPr>
      <w:r w:rsidRPr="00285F6D">
        <w:rPr>
          <w:color w:val="C00000"/>
          <w:sz w:val="28"/>
          <w:lang w:val="fr-FR"/>
        </w:rPr>
        <w:t>APER</w:t>
      </w:r>
      <w:r w:rsidR="00285F6D">
        <w:rPr>
          <w:color w:val="C00000"/>
          <w:sz w:val="28"/>
          <w:lang w:val="fr-FR"/>
        </w:rPr>
        <w:t>Ç</w:t>
      </w:r>
      <w:r w:rsidRPr="00285F6D">
        <w:rPr>
          <w:color w:val="C00000"/>
          <w:sz w:val="28"/>
          <w:lang w:val="fr-FR"/>
        </w:rPr>
        <w:t>U</w:t>
      </w:r>
    </w:p>
    <w:p w14:paraId="470915D1" w14:textId="38F5B25B" w:rsidR="009E225A" w:rsidRPr="000130C0" w:rsidRDefault="001F1600" w:rsidP="007D040A">
      <w:pPr>
        <w:pStyle w:val="Sansinterligne"/>
        <w:rPr>
          <w:lang w:val="fr-FR"/>
        </w:rPr>
      </w:pPr>
      <w:r w:rsidRPr="001F1600">
        <w:rPr>
          <w:lang w:val="fr-FR"/>
        </w:rPr>
        <w:t>Cet ou</w:t>
      </w:r>
      <w:r>
        <w:rPr>
          <w:lang w:val="fr-FR"/>
        </w:rPr>
        <w:t>t</w:t>
      </w:r>
      <w:r w:rsidRPr="001F1600">
        <w:rPr>
          <w:lang w:val="fr-FR"/>
        </w:rPr>
        <w:t>il</w:t>
      </w:r>
      <w:r w:rsidR="000130C0">
        <w:rPr>
          <w:lang w:val="fr-FR"/>
        </w:rPr>
        <w:t>,</w:t>
      </w:r>
      <w:r w:rsidRPr="001F1600">
        <w:rPr>
          <w:lang w:val="fr-FR"/>
        </w:rPr>
        <w:t xml:space="preserve"> étape par étape</w:t>
      </w:r>
      <w:r w:rsidR="000130C0">
        <w:rPr>
          <w:lang w:val="fr-FR"/>
        </w:rPr>
        <w:t>,</w:t>
      </w:r>
      <w:r w:rsidRPr="001F1600">
        <w:rPr>
          <w:lang w:val="fr-FR"/>
        </w:rPr>
        <w:t xml:space="preserve"> peut être utilis</w:t>
      </w:r>
      <w:r w:rsidR="00285F6D">
        <w:rPr>
          <w:lang w:val="fr-FR"/>
        </w:rPr>
        <w:t>é</w:t>
      </w:r>
      <w:r w:rsidRPr="001F1600">
        <w:rPr>
          <w:lang w:val="fr-FR"/>
        </w:rPr>
        <w:t xml:space="preserve"> pour aider à </w:t>
      </w:r>
      <w:r w:rsidR="00285F6D">
        <w:rPr>
          <w:lang w:val="fr-FR"/>
        </w:rPr>
        <w:t>l’</w:t>
      </w:r>
      <w:r w:rsidR="009E225A" w:rsidRPr="001F1600">
        <w:rPr>
          <w:lang w:val="fr-FR"/>
        </w:rPr>
        <w:t>analyse</w:t>
      </w:r>
      <w:r w:rsidRPr="001F1600">
        <w:rPr>
          <w:lang w:val="fr-FR"/>
        </w:rPr>
        <w:t xml:space="preserve"> et à </w:t>
      </w:r>
      <w:r w:rsidR="00285F6D">
        <w:rPr>
          <w:lang w:val="fr-FR"/>
        </w:rPr>
        <w:t xml:space="preserve">l’établissement </w:t>
      </w:r>
      <w:r w:rsidRPr="001F1600">
        <w:rPr>
          <w:lang w:val="fr-FR"/>
        </w:rPr>
        <w:t xml:space="preserve">de </w:t>
      </w:r>
      <w:r w:rsidR="009E225A" w:rsidRPr="001F1600">
        <w:rPr>
          <w:lang w:val="fr-FR"/>
        </w:rPr>
        <w:t>priorit</w:t>
      </w:r>
      <w:r>
        <w:rPr>
          <w:lang w:val="fr-FR"/>
        </w:rPr>
        <w:t xml:space="preserve">és quant aux besoins et aux actions </w:t>
      </w:r>
      <w:r w:rsidR="000130C0">
        <w:rPr>
          <w:lang w:val="fr-FR"/>
        </w:rPr>
        <w:t>requises</w:t>
      </w:r>
      <w:r w:rsidR="000130C0">
        <w:rPr>
          <w:rStyle w:val="Appelnotedebasdep"/>
        </w:rPr>
        <w:footnoteReference w:id="1"/>
      </w:r>
      <w:r w:rsidR="000130C0">
        <w:rPr>
          <w:lang w:val="fr-FR"/>
        </w:rPr>
        <w:t xml:space="preserve"> </w:t>
      </w:r>
      <w:r>
        <w:rPr>
          <w:lang w:val="fr-FR"/>
        </w:rPr>
        <w:t>de GHM</w:t>
      </w:r>
      <w:r w:rsidR="009E225A" w:rsidRPr="001F1600">
        <w:rPr>
          <w:lang w:val="fr-FR"/>
        </w:rPr>
        <w:t xml:space="preserve">. </w:t>
      </w:r>
      <w:r w:rsidRPr="001F1600">
        <w:rPr>
          <w:lang w:val="fr-FR"/>
        </w:rPr>
        <w:t>Sur la base d</w:t>
      </w:r>
      <w:r w:rsidR="000130C0">
        <w:rPr>
          <w:lang w:val="fr-FR"/>
        </w:rPr>
        <w:t>’</w:t>
      </w:r>
      <w:r w:rsidRPr="001F1600">
        <w:rPr>
          <w:lang w:val="fr-FR"/>
        </w:rPr>
        <w:t>informations et de données recueillies durant l’évaluation</w:t>
      </w:r>
      <w:r w:rsidR="009E225A" w:rsidRPr="001F1600">
        <w:rPr>
          <w:lang w:val="fr-FR"/>
        </w:rPr>
        <w:t xml:space="preserve">, </w:t>
      </w:r>
      <w:r w:rsidRPr="001F1600">
        <w:rPr>
          <w:lang w:val="fr-FR"/>
        </w:rPr>
        <w:t xml:space="preserve">remplir le tableau ci-dessous en commençant par le numéro </w:t>
      </w:r>
      <w:r w:rsidR="009E225A" w:rsidRPr="001F1600">
        <w:rPr>
          <w:lang w:val="fr-FR"/>
        </w:rPr>
        <w:t xml:space="preserve">1 </w:t>
      </w:r>
      <w:r w:rsidRPr="001F1600">
        <w:rPr>
          <w:lang w:val="fr-FR"/>
        </w:rPr>
        <w:t>et continuer jusqu’au numéro</w:t>
      </w:r>
      <w:r w:rsidR="009E225A" w:rsidRPr="001F1600">
        <w:rPr>
          <w:lang w:val="fr-FR"/>
        </w:rPr>
        <w:t xml:space="preserve"> 5. </w:t>
      </w:r>
      <w:r>
        <w:rPr>
          <w:lang w:val="fr-FR"/>
        </w:rPr>
        <w:t>Plusieurs exemples sont fournis</w:t>
      </w:r>
      <w:r w:rsidR="009E225A" w:rsidRPr="000130C0">
        <w:rPr>
          <w:lang w:val="fr-FR"/>
        </w:rPr>
        <w:t xml:space="preserve">. </w:t>
      </w:r>
    </w:p>
    <w:p w14:paraId="40534FED" w14:textId="77777777" w:rsidR="009E225A" w:rsidRPr="000130C0" w:rsidRDefault="009E225A" w:rsidP="007D040A">
      <w:pPr>
        <w:pStyle w:val="Sansinterligne"/>
        <w:rPr>
          <w:lang w:val="fr-FR"/>
        </w:rPr>
      </w:pPr>
    </w:p>
    <w:p w14:paraId="5E95B78F" w14:textId="0A1D9B61" w:rsidR="00FC2FA7" w:rsidRPr="001F1600" w:rsidRDefault="002756AE" w:rsidP="00FC2FA7">
      <w:pPr>
        <w:rPr>
          <w:color w:val="C00000"/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183170" wp14:editId="6841949C">
                <wp:simplePos x="0" y="0"/>
                <wp:positionH relativeFrom="column">
                  <wp:posOffset>8580120</wp:posOffset>
                </wp:positionH>
                <wp:positionV relativeFrom="paragraph">
                  <wp:posOffset>945515</wp:posOffset>
                </wp:positionV>
                <wp:extent cx="1249680" cy="694055"/>
                <wp:effectExtent l="0" t="0" r="0" b="0"/>
                <wp:wrapThrough wrapText="bothSides">
                  <wp:wrapPolygon edited="0">
                    <wp:start x="988" y="0"/>
                    <wp:lineTo x="988" y="20750"/>
                    <wp:lineTo x="20415" y="20750"/>
                    <wp:lineTo x="20415" y="0"/>
                    <wp:lineTo x="98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79AB" w14:textId="4DA08D45" w:rsidR="002756AE" w:rsidRPr="00091191" w:rsidRDefault="00091191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091191">
                              <w:rPr>
                                <w:b/>
                                <w:lang w:val="fr-FR"/>
                              </w:rPr>
                              <w:t>Voir les</w:t>
                            </w:r>
                            <w:r w:rsidR="002756AE" w:rsidRPr="00091191">
                              <w:rPr>
                                <w:b/>
                                <w:lang w:val="fr-FR"/>
                              </w:rPr>
                              <w:t xml:space="preserve"> actions </w:t>
                            </w:r>
                            <w:r w:rsidRPr="00091191">
                              <w:rPr>
                                <w:b/>
                                <w:lang w:val="fr-FR"/>
                              </w:rPr>
                              <w:t>ci-dessous</w:t>
                            </w:r>
                            <w:r w:rsidR="002756AE" w:rsidRPr="00091191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3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6pt;margin-top:74.45pt;width:98.4pt;height:5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" filled="f" stroked="f">
                <v:textbox>
                  <w:txbxContent>
                    <w:p w14:paraId="7E4979AB" w14:textId="4DA08D45" w:rsidR="002756AE" w:rsidRPr="00091191" w:rsidRDefault="00091191">
                      <w:pPr>
                        <w:rPr>
                          <w:b/>
                          <w:lang w:val="fr-FR"/>
                        </w:rPr>
                      </w:pPr>
                      <w:r w:rsidRPr="00091191">
                        <w:rPr>
                          <w:b/>
                          <w:lang w:val="fr-FR"/>
                        </w:rPr>
                        <w:t>Voir les</w:t>
                      </w:r>
                      <w:r w:rsidR="002756AE" w:rsidRPr="00091191">
                        <w:rPr>
                          <w:b/>
                          <w:lang w:val="fr-FR"/>
                        </w:rPr>
                        <w:t xml:space="preserve"> actions </w:t>
                      </w:r>
                      <w:r w:rsidRPr="00091191">
                        <w:rPr>
                          <w:b/>
                          <w:lang w:val="fr-FR"/>
                        </w:rPr>
                        <w:t>ci-dessous</w:t>
                      </w:r>
                      <w:r w:rsidR="002756AE" w:rsidRPr="00091191">
                        <w:rPr>
                          <w:b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3DF9" wp14:editId="269924C5">
                <wp:simplePos x="0" y="0"/>
                <wp:positionH relativeFrom="column">
                  <wp:posOffset>7305382</wp:posOffset>
                </wp:positionH>
                <wp:positionV relativeFrom="paragraph">
                  <wp:posOffset>959192</wp:posOffset>
                </wp:positionV>
                <wp:extent cx="1181686" cy="407964"/>
                <wp:effectExtent l="57150" t="38100" r="57150" b="8763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86" cy="40796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6D5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75.25pt;margin-top:75.55pt;width:93.0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" adj="17871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F1600" w:rsidRPr="001F1600">
        <w:rPr>
          <w:color w:val="C00000"/>
          <w:sz w:val="28"/>
          <w:lang w:val="fr-FR"/>
        </w:rPr>
        <w:t xml:space="preserve">OUTIL POUR </w:t>
      </w:r>
      <w:r w:rsidR="009E225A" w:rsidRPr="001F1600">
        <w:rPr>
          <w:color w:val="C00000"/>
          <w:sz w:val="28"/>
          <w:lang w:val="fr-FR"/>
        </w:rPr>
        <w:t>D</w:t>
      </w:r>
      <w:r w:rsidR="00285F6D">
        <w:rPr>
          <w:color w:val="C00000"/>
          <w:sz w:val="28"/>
          <w:lang w:val="fr-FR"/>
        </w:rPr>
        <w:t>É</w:t>
      </w:r>
      <w:r w:rsidR="009E225A" w:rsidRPr="001F1600">
        <w:rPr>
          <w:color w:val="C00000"/>
          <w:sz w:val="28"/>
          <w:lang w:val="fr-FR"/>
        </w:rPr>
        <w:t>CID</w:t>
      </w:r>
      <w:r w:rsidR="001F1600" w:rsidRPr="001F1600">
        <w:rPr>
          <w:color w:val="C00000"/>
          <w:sz w:val="28"/>
          <w:lang w:val="fr-FR"/>
        </w:rPr>
        <w:t>ER D</w:t>
      </w:r>
      <w:r w:rsidR="000130C0">
        <w:rPr>
          <w:color w:val="C00000"/>
          <w:sz w:val="28"/>
          <w:lang w:val="fr-FR"/>
        </w:rPr>
        <w:t xml:space="preserve">ES </w:t>
      </w:r>
      <w:r w:rsidR="001F1600" w:rsidRPr="001F1600">
        <w:rPr>
          <w:color w:val="C00000"/>
          <w:sz w:val="28"/>
          <w:lang w:val="fr-FR"/>
        </w:rPr>
        <w:t>ACTIONS DE GHM</w:t>
      </w:r>
      <w:r w:rsidR="009E225A" w:rsidRPr="001F1600">
        <w:rPr>
          <w:color w:val="C00000"/>
          <w:sz w:val="28"/>
          <w:lang w:val="fr-FR"/>
        </w:rPr>
        <w:t xml:space="preserve"> </w:t>
      </w:r>
    </w:p>
    <w:tbl>
      <w:tblPr>
        <w:tblW w:w="4281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985"/>
        <w:gridCol w:w="1985"/>
        <w:gridCol w:w="3970"/>
        <w:gridCol w:w="2691"/>
      </w:tblGrid>
      <w:tr w:rsidR="003D0633" w:rsidRPr="00DA10BF" w14:paraId="51A1FC37" w14:textId="77777777" w:rsidTr="002756AE">
        <w:tc>
          <w:tcPr>
            <w:tcW w:w="737" w:type="pct"/>
            <w:shd w:val="clear" w:color="auto" w:fill="FBE5D5"/>
          </w:tcPr>
          <w:p w14:paraId="117894F3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1</w:t>
            </w:r>
          </w:p>
        </w:tc>
        <w:tc>
          <w:tcPr>
            <w:tcW w:w="796" w:type="pct"/>
            <w:shd w:val="clear" w:color="auto" w:fill="FBE5D5"/>
          </w:tcPr>
          <w:p w14:paraId="59F6F6A8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2</w:t>
            </w:r>
          </w:p>
        </w:tc>
        <w:tc>
          <w:tcPr>
            <w:tcW w:w="796" w:type="pct"/>
            <w:shd w:val="clear" w:color="auto" w:fill="FBE5D5"/>
          </w:tcPr>
          <w:p w14:paraId="726176B3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3</w:t>
            </w:r>
          </w:p>
        </w:tc>
        <w:tc>
          <w:tcPr>
            <w:tcW w:w="1592" w:type="pct"/>
            <w:shd w:val="clear" w:color="auto" w:fill="FBE5D5"/>
          </w:tcPr>
          <w:p w14:paraId="2013B1E8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4</w:t>
            </w:r>
          </w:p>
        </w:tc>
        <w:tc>
          <w:tcPr>
            <w:tcW w:w="1080" w:type="pct"/>
            <w:shd w:val="clear" w:color="auto" w:fill="FBE5D5"/>
          </w:tcPr>
          <w:p w14:paraId="2E9CD4F1" w14:textId="77777777" w:rsidR="009E225A" w:rsidRPr="00DA10BF" w:rsidRDefault="009E225A" w:rsidP="00317586">
            <w:pPr>
              <w:spacing w:before="0"/>
              <w:jc w:val="center"/>
            </w:pPr>
            <w:r w:rsidRPr="00DA10BF">
              <w:t>5</w:t>
            </w:r>
          </w:p>
        </w:tc>
      </w:tr>
      <w:tr w:rsidR="003D0633" w:rsidRPr="00DA10BF" w14:paraId="7B2D4C12" w14:textId="77777777" w:rsidTr="002756AE">
        <w:tc>
          <w:tcPr>
            <w:tcW w:w="737" w:type="pct"/>
            <w:shd w:val="clear" w:color="auto" w:fill="F4B083"/>
          </w:tcPr>
          <w:p w14:paraId="4E559B94" w14:textId="7905C9D4" w:rsidR="009E225A" w:rsidRPr="001F1600" w:rsidRDefault="009E225A" w:rsidP="001F1600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>Probl</w:t>
            </w:r>
            <w:r w:rsidR="001F1600">
              <w:rPr>
                <w:lang w:val="fr-FR"/>
              </w:rPr>
              <w:t xml:space="preserve">ème </w:t>
            </w:r>
            <w:r w:rsidRPr="001F1600">
              <w:rPr>
                <w:lang w:val="fr-FR"/>
              </w:rPr>
              <w:t>identifi</w:t>
            </w:r>
            <w:r w:rsidR="001F1600">
              <w:rPr>
                <w:lang w:val="fr-FR"/>
              </w:rPr>
              <w:t>é</w:t>
            </w:r>
            <w:r w:rsidRPr="001F1600">
              <w:rPr>
                <w:lang w:val="fr-FR"/>
              </w:rPr>
              <w:t xml:space="preserve"> dur</w:t>
            </w:r>
            <w:r w:rsidR="001F1600">
              <w:rPr>
                <w:lang w:val="fr-FR"/>
              </w:rPr>
              <w:t>ant</w:t>
            </w:r>
            <w:r w:rsidRPr="001F1600">
              <w:rPr>
                <w:lang w:val="fr-FR"/>
              </w:rPr>
              <w:t xml:space="preserve"> </w:t>
            </w:r>
            <w:r w:rsidR="001F1600">
              <w:rPr>
                <w:lang w:val="fr-FR"/>
              </w:rPr>
              <w:t>l’évaluation</w:t>
            </w:r>
            <w:r w:rsidRPr="001F1600">
              <w:rPr>
                <w:lang w:val="fr-FR"/>
              </w:rPr>
              <w:t xml:space="preserve"> </w:t>
            </w:r>
          </w:p>
        </w:tc>
        <w:tc>
          <w:tcPr>
            <w:tcW w:w="796" w:type="pct"/>
            <w:shd w:val="clear" w:color="auto" w:fill="F4B083"/>
          </w:tcPr>
          <w:p w14:paraId="453E4F30" w14:textId="3E5565D3" w:rsidR="009E225A" w:rsidRPr="001F1600" w:rsidRDefault="009E225A" w:rsidP="00317586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>Priorit</w:t>
            </w:r>
            <w:r w:rsidR="001F1600">
              <w:rPr>
                <w:lang w:val="fr-FR"/>
              </w:rPr>
              <w:t>é</w:t>
            </w:r>
            <w:r w:rsidRPr="001F1600">
              <w:rPr>
                <w:lang w:val="fr-FR"/>
              </w:rPr>
              <w:t xml:space="preserve"> – </w:t>
            </w:r>
            <w:r w:rsidR="001F1600">
              <w:rPr>
                <w:lang w:val="fr-FR"/>
              </w:rPr>
              <w:t>hiérarchiser la gravité du</w:t>
            </w:r>
            <w:r w:rsidRPr="001F1600">
              <w:rPr>
                <w:lang w:val="fr-FR"/>
              </w:rPr>
              <w:t xml:space="preserve"> probl</w:t>
            </w:r>
            <w:r w:rsidR="001F1600">
              <w:rPr>
                <w:lang w:val="fr-FR"/>
              </w:rPr>
              <w:t>è</w:t>
            </w:r>
            <w:r w:rsidRPr="001F1600">
              <w:rPr>
                <w:lang w:val="fr-FR"/>
              </w:rPr>
              <w:t>m</w:t>
            </w:r>
            <w:r w:rsidR="001F1600">
              <w:rPr>
                <w:lang w:val="fr-FR"/>
              </w:rPr>
              <w:t>e</w:t>
            </w:r>
            <w:r w:rsidRPr="001F1600">
              <w:rPr>
                <w:lang w:val="fr-FR"/>
              </w:rPr>
              <w:t xml:space="preserve"> </w:t>
            </w:r>
          </w:p>
          <w:p w14:paraId="0270B6CA" w14:textId="1102C369" w:rsidR="009E225A" w:rsidRPr="001F1600" w:rsidRDefault="009E225A" w:rsidP="00317586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>1 = h</w:t>
            </w:r>
            <w:r w:rsidR="001F1600">
              <w:rPr>
                <w:lang w:val="fr-FR"/>
              </w:rPr>
              <w:t>aute</w:t>
            </w:r>
            <w:r w:rsidRPr="001F1600">
              <w:rPr>
                <w:lang w:val="fr-FR"/>
              </w:rPr>
              <w:t xml:space="preserve"> </w:t>
            </w:r>
          </w:p>
          <w:p w14:paraId="39210866" w14:textId="02E96FF0" w:rsidR="009E225A" w:rsidRPr="001F1600" w:rsidRDefault="009E225A" w:rsidP="00317586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>2 = m</w:t>
            </w:r>
            <w:r w:rsidR="001F1600">
              <w:rPr>
                <w:lang w:val="fr-FR"/>
              </w:rPr>
              <w:t>oyenne</w:t>
            </w:r>
            <w:r w:rsidRPr="001F1600">
              <w:rPr>
                <w:lang w:val="fr-FR"/>
              </w:rPr>
              <w:t xml:space="preserve"> </w:t>
            </w:r>
          </w:p>
          <w:p w14:paraId="434C008E" w14:textId="4FF51A62" w:rsidR="009E225A" w:rsidRPr="001F1600" w:rsidRDefault="009E225A" w:rsidP="001F1600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 xml:space="preserve">3 = </w:t>
            </w:r>
            <w:r w:rsidR="001F1600">
              <w:rPr>
                <w:lang w:val="fr-FR"/>
              </w:rPr>
              <w:t>basse</w:t>
            </w:r>
            <w:r w:rsidRPr="001F1600">
              <w:rPr>
                <w:lang w:val="fr-FR"/>
              </w:rPr>
              <w:t xml:space="preserve"> </w:t>
            </w:r>
          </w:p>
        </w:tc>
        <w:tc>
          <w:tcPr>
            <w:tcW w:w="796" w:type="pct"/>
            <w:shd w:val="clear" w:color="auto" w:fill="F4B083"/>
          </w:tcPr>
          <w:p w14:paraId="55BE2DB6" w14:textId="20DA21C5" w:rsidR="009E225A" w:rsidRPr="001F1600" w:rsidRDefault="001F1600" w:rsidP="001F1600">
            <w:pPr>
              <w:spacing w:before="0"/>
              <w:rPr>
                <w:lang w:val="fr-FR"/>
              </w:rPr>
            </w:pPr>
            <w:r>
              <w:rPr>
                <w:lang w:val="fr-FR"/>
              </w:rPr>
              <w:t>Objectif – si le problème a été résolu</w:t>
            </w:r>
            <w:r w:rsidR="009E225A" w:rsidRPr="001F1600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quel </w:t>
            </w:r>
            <w:r w:rsidR="000130C0">
              <w:rPr>
                <w:lang w:val="fr-FR"/>
              </w:rPr>
              <w:t xml:space="preserve">en </w:t>
            </w:r>
            <w:r>
              <w:rPr>
                <w:lang w:val="fr-FR"/>
              </w:rPr>
              <w:t>serait le résultat</w:t>
            </w:r>
            <w:r w:rsidR="00EB57F0">
              <w:rPr>
                <w:lang w:val="fr-FR"/>
              </w:rPr>
              <w:t xml:space="preserve"> </w:t>
            </w:r>
            <w:r w:rsidR="009E225A" w:rsidRPr="001F1600">
              <w:rPr>
                <w:lang w:val="fr-FR"/>
              </w:rPr>
              <w:t xml:space="preserve">? </w:t>
            </w:r>
          </w:p>
        </w:tc>
        <w:tc>
          <w:tcPr>
            <w:tcW w:w="1592" w:type="pct"/>
            <w:shd w:val="clear" w:color="auto" w:fill="F4B083"/>
          </w:tcPr>
          <w:p w14:paraId="7BEC8F0F" w14:textId="63ECDC76" w:rsidR="009E225A" w:rsidRPr="001F1600" w:rsidRDefault="009E225A" w:rsidP="001F1600">
            <w:pPr>
              <w:spacing w:before="0"/>
              <w:rPr>
                <w:lang w:val="fr-FR"/>
              </w:rPr>
            </w:pPr>
            <w:r w:rsidRPr="001F1600">
              <w:rPr>
                <w:lang w:val="fr-FR"/>
              </w:rPr>
              <w:t>Actions requi</w:t>
            </w:r>
            <w:r w:rsidR="001F1600">
              <w:rPr>
                <w:lang w:val="fr-FR"/>
              </w:rPr>
              <w:t>ses pour atteindre l’objectif</w:t>
            </w:r>
            <w:r w:rsidRPr="001F1600">
              <w:rPr>
                <w:lang w:val="fr-FR"/>
              </w:rPr>
              <w:t xml:space="preserve"> </w:t>
            </w:r>
          </w:p>
        </w:tc>
        <w:tc>
          <w:tcPr>
            <w:tcW w:w="1080" w:type="pct"/>
            <w:shd w:val="clear" w:color="auto" w:fill="F4B083"/>
          </w:tcPr>
          <w:p w14:paraId="3D391A86" w14:textId="339BEA0E" w:rsidR="009E225A" w:rsidRPr="001F1600" w:rsidRDefault="00091191" w:rsidP="00317586">
            <w:pPr>
              <w:spacing w:before="0"/>
              <w:rPr>
                <w:lang w:val="fr-FR"/>
              </w:rPr>
            </w:pPr>
            <w:r>
              <w:rPr>
                <w:lang w:val="fr-FR"/>
              </w:rPr>
              <w:t>Zone de responsabilité CR</w:t>
            </w:r>
            <w:r w:rsidR="00EB57F0">
              <w:rPr>
                <w:lang w:val="fr-FR"/>
              </w:rPr>
              <w:t>/</w:t>
            </w:r>
            <w:r>
              <w:rPr>
                <w:lang w:val="fr-FR"/>
              </w:rPr>
              <w:t>CR dans cette</w:t>
            </w:r>
            <w:r w:rsidR="002756AE" w:rsidRPr="001F1600">
              <w:rPr>
                <w:lang w:val="fr-FR"/>
              </w:rPr>
              <w:t xml:space="preserve"> r</w:t>
            </w:r>
            <w:r>
              <w:rPr>
                <w:lang w:val="fr-FR"/>
              </w:rPr>
              <w:t>é</w:t>
            </w:r>
            <w:r w:rsidR="002756AE" w:rsidRPr="001F1600">
              <w:rPr>
                <w:lang w:val="fr-FR"/>
              </w:rPr>
              <w:t>ponse/</w:t>
            </w:r>
            <w:r w:rsidR="009E225A" w:rsidRPr="001F1600">
              <w:rPr>
                <w:lang w:val="fr-FR"/>
              </w:rPr>
              <w:t>context</w:t>
            </w:r>
            <w:r>
              <w:rPr>
                <w:lang w:val="fr-FR"/>
              </w:rPr>
              <w:t>e</w:t>
            </w:r>
            <w:r w:rsidR="00EB57F0">
              <w:rPr>
                <w:lang w:val="fr-FR"/>
              </w:rPr>
              <w:t xml:space="preserve"> </w:t>
            </w:r>
            <w:r w:rsidR="009E225A" w:rsidRPr="001F1600">
              <w:rPr>
                <w:lang w:val="fr-FR"/>
              </w:rPr>
              <w:t xml:space="preserve">? </w:t>
            </w:r>
          </w:p>
          <w:p w14:paraId="52BB6C0F" w14:textId="0D11EBF1" w:rsidR="009E225A" w:rsidRPr="001F1600" w:rsidRDefault="00091191" w:rsidP="00091191">
            <w:pPr>
              <w:spacing w:before="0"/>
              <w:rPr>
                <w:lang w:val="fr-FR"/>
              </w:rPr>
            </w:pPr>
            <w:r>
              <w:rPr>
                <w:lang w:val="fr-FR"/>
              </w:rPr>
              <w:t>Oui ou</w:t>
            </w:r>
            <w:r w:rsidR="009E225A" w:rsidRPr="001F1600">
              <w:rPr>
                <w:lang w:val="fr-FR"/>
              </w:rPr>
              <w:t xml:space="preserve"> N</w:t>
            </w:r>
            <w:r w:rsidR="002756AE" w:rsidRPr="001F1600">
              <w:rPr>
                <w:lang w:val="fr-FR"/>
              </w:rPr>
              <w:t>o</w:t>
            </w:r>
            <w:r>
              <w:rPr>
                <w:lang w:val="fr-FR"/>
              </w:rPr>
              <w:t>n</w:t>
            </w:r>
            <w:r w:rsidR="009E225A" w:rsidRPr="001F1600">
              <w:rPr>
                <w:lang w:val="fr-FR"/>
              </w:rPr>
              <w:t xml:space="preserve">  </w:t>
            </w:r>
          </w:p>
        </w:tc>
      </w:tr>
      <w:tr w:rsidR="004A5297" w:rsidRPr="00EB57F0" w14:paraId="19A1D894" w14:textId="77777777" w:rsidTr="002756AE">
        <w:tc>
          <w:tcPr>
            <w:tcW w:w="737" w:type="pct"/>
          </w:tcPr>
          <w:p w14:paraId="13CC3977" w14:textId="6B61DDA4" w:rsidR="009E225A" w:rsidRPr="00B62056" w:rsidRDefault="009E225A" w:rsidP="00B62056">
            <w:pPr>
              <w:spacing w:before="0"/>
              <w:jc w:val="both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t>Ex</w:t>
            </w:r>
            <w:r w:rsidR="00B62056" w:rsidRPr="00B62056">
              <w:rPr>
                <w:i/>
                <w:color w:val="595959"/>
                <w:lang w:val="fr-FR"/>
              </w:rPr>
              <w:t>e</w:t>
            </w:r>
            <w:r w:rsidRPr="00B62056">
              <w:rPr>
                <w:i/>
                <w:color w:val="595959"/>
                <w:lang w:val="fr-FR"/>
              </w:rPr>
              <w:t>mple</w:t>
            </w:r>
            <w:r w:rsidR="00EB57F0">
              <w:rPr>
                <w:i/>
                <w:color w:val="595959"/>
                <w:lang w:val="fr-FR"/>
              </w:rPr>
              <w:t xml:space="preserve"> </w:t>
            </w:r>
            <w:r w:rsidRPr="00B62056">
              <w:rPr>
                <w:i/>
                <w:color w:val="595959"/>
                <w:lang w:val="fr-FR"/>
              </w:rPr>
              <w:t xml:space="preserve">: </w:t>
            </w:r>
          </w:p>
          <w:p w14:paraId="1CC54580" w14:textId="7C938475" w:rsidR="009E225A" w:rsidRPr="00B62056" w:rsidRDefault="00B62056" w:rsidP="000130C0">
            <w:pPr>
              <w:spacing w:before="0"/>
              <w:jc w:val="both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Les femmes et les jeunes filles n’utilisent pas les </w:t>
            </w:r>
            <w:r w:rsidR="009E225A" w:rsidRPr="00B62056">
              <w:rPr>
                <w:i/>
                <w:color w:val="595959"/>
                <w:lang w:val="fr-FR"/>
              </w:rPr>
              <w:t xml:space="preserve">latrines </w:t>
            </w:r>
            <w:r>
              <w:rPr>
                <w:i/>
                <w:color w:val="595959"/>
                <w:lang w:val="fr-FR"/>
              </w:rPr>
              <w:t xml:space="preserve">du camp </w:t>
            </w:r>
            <w:r>
              <w:rPr>
                <w:i/>
                <w:color w:val="595959"/>
                <w:lang w:val="fr-FR"/>
              </w:rPr>
              <w:lastRenderedPageBreak/>
              <w:t>lors</w:t>
            </w:r>
            <w:r w:rsidR="000130C0">
              <w:rPr>
                <w:i/>
                <w:color w:val="595959"/>
                <w:lang w:val="fr-FR"/>
              </w:rPr>
              <w:t>qu’elles ont</w:t>
            </w:r>
            <w:r>
              <w:rPr>
                <w:i/>
                <w:color w:val="595959"/>
                <w:lang w:val="fr-FR"/>
              </w:rPr>
              <w:t xml:space="preserve"> leurs règles</w:t>
            </w:r>
            <w:r w:rsidR="009E225A" w:rsidRPr="00B62056">
              <w:rPr>
                <w:i/>
                <w:color w:val="595959"/>
                <w:lang w:val="fr-FR"/>
              </w:rPr>
              <w:t xml:space="preserve">.  </w:t>
            </w:r>
          </w:p>
        </w:tc>
        <w:tc>
          <w:tcPr>
            <w:tcW w:w="796" w:type="pct"/>
          </w:tcPr>
          <w:p w14:paraId="57080CFA" w14:textId="77777777" w:rsidR="009E225A" w:rsidRPr="00B62056" w:rsidRDefault="009E225A" w:rsidP="00317586">
            <w:pPr>
              <w:spacing w:before="0"/>
              <w:jc w:val="center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lastRenderedPageBreak/>
              <w:t>1</w:t>
            </w:r>
          </w:p>
        </w:tc>
        <w:tc>
          <w:tcPr>
            <w:tcW w:w="796" w:type="pct"/>
          </w:tcPr>
          <w:p w14:paraId="6AE6A59D" w14:textId="2ECFE62F" w:rsidR="009E225A" w:rsidRPr="00B62056" w:rsidRDefault="00B62056" w:rsidP="000130C0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Les femmes et les jeunes filles se sentent à l’aise et en sécurité </w:t>
            </w:r>
            <w:r w:rsidR="00C73C52">
              <w:rPr>
                <w:i/>
                <w:color w:val="595959"/>
                <w:lang w:val="fr-FR"/>
              </w:rPr>
              <w:t>lors de l’utilisation</w:t>
            </w:r>
            <w:r w:rsidR="000130C0">
              <w:rPr>
                <w:i/>
                <w:color w:val="595959"/>
                <w:lang w:val="fr-FR"/>
              </w:rPr>
              <w:t xml:space="preserve"> </w:t>
            </w:r>
            <w:r w:rsidR="000130C0">
              <w:rPr>
                <w:i/>
                <w:color w:val="595959"/>
                <w:lang w:val="fr-FR"/>
              </w:rPr>
              <w:lastRenderedPageBreak/>
              <w:t>systématique d</w:t>
            </w:r>
            <w:r>
              <w:rPr>
                <w:i/>
                <w:color w:val="595959"/>
                <w:lang w:val="fr-FR"/>
              </w:rPr>
              <w:t>es latrines du camp lors</w:t>
            </w:r>
            <w:r w:rsidR="000130C0">
              <w:rPr>
                <w:i/>
                <w:color w:val="595959"/>
                <w:lang w:val="fr-FR"/>
              </w:rPr>
              <w:t>qu’elles ont</w:t>
            </w:r>
            <w:r>
              <w:rPr>
                <w:i/>
                <w:color w:val="595959"/>
                <w:lang w:val="fr-FR"/>
              </w:rPr>
              <w:t xml:space="preserve"> leurs règles</w:t>
            </w:r>
            <w:r w:rsidR="009E225A" w:rsidRPr="00B62056">
              <w:rPr>
                <w:i/>
                <w:color w:val="595959"/>
                <w:lang w:val="fr-FR"/>
              </w:rPr>
              <w:t xml:space="preserve">. </w:t>
            </w:r>
          </w:p>
        </w:tc>
        <w:tc>
          <w:tcPr>
            <w:tcW w:w="1592" w:type="pct"/>
          </w:tcPr>
          <w:p w14:paraId="2D6C6D39" w14:textId="058C8F91" w:rsidR="009E225A" w:rsidRPr="00B62056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lastRenderedPageBreak/>
              <w:t>L</w:t>
            </w:r>
            <w:r w:rsidR="00B62056">
              <w:rPr>
                <w:i/>
                <w:color w:val="595959"/>
                <w:lang w:val="fr-FR"/>
              </w:rPr>
              <w:t>es l</w:t>
            </w:r>
            <w:r w:rsidRPr="00B62056">
              <w:rPr>
                <w:i/>
                <w:color w:val="595959"/>
                <w:lang w:val="fr-FR"/>
              </w:rPr>
              <w:t xml:space="preserve">atrines </w:t>
            </w:r>
            <w:r w:rsidR="00B62056">
              <w:rPr>
                <w:i/>
                <w:color w:val="595959"/>
                <w:lang w:val="fr-FR"/>
              </w:rPr>
              <w:t xml:space="preserve">sont séparées par </w:t>
            </w:r>
            <w:r w:rsidR="008E4FDC">
              <w:rPr>
                <w:i/>
                <w:color w:val="595959"/>
                <w:lang w:val="fr-FR"/>
              </w:rPr>
              <w:t>sexe</w:t>
            </w:r>
            <w:r w:rsidRPr="00B62056">
              <w:rPr>
                <w:i/>
                <w:color w:val="595959"/>
                <w:lang w:val="fr-FR"/>
              </w:rPr>
              <w:t xml:space="preserve">. </w:t>
            </w:r>
          </w:p>
          <w:p w14:paraId="33A700D8" w14:textId="68578BC9" w:rsidR="009E225A" w:rsidRPr="00B62056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t>L</w:t>
            </w:r>
            <w:r w:rsidR="00B62056">
              <w:rPr>
                <w:i/>
                <w:color w:val="595959"/>
                <w:lang w:val="fr-FR"/>
              </w:rPr>
              <w:t>es l</w:t>
            </w:r>
            <w:r w:rsidRPr="00B62056">
              <w:rPr>
                <w:i/>
                <w:color w:val="595959"/>
                <w:lang w:val="fr-FR"/>
              </w:rPr>
              <w:t xml:space="preserve">atrines </w:t>
            </w:r>
            <w:r w:rsidR="00B62056">
              <w:rPr>
                <w:i/>
                <w:color w:val="595959"/>
                <w:lang w:val="fr-FR"/>
              </w:rPr>
              <w:t>sont bien éclairées</w:t>
            </w:r>
            <w:r w:rsidRPr="00B62056">
              <w:rPr>
                <w:i/>
                <w:color w:val="595959"/>
                <w:lang w:val="fr-FR"/>
              </w:rPr>
              <w:t xml:space="preserve">. </w:t>
            </w:r>
          </w:p>
          <w:p w14:paraId="28D82FD8" w14:textId="0153BE93" w:rsidR="009E225A" w:rsidRPr="00B62056" w:rsidRDefault="00B62056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Des corbeilles pour jeter les déchets sont disponibles à l’intérieur des</w:t>
            </w:r>
            <w:r w:rsidR="009E225A" w:rsidRPr="00B62056">
              <w:rPr>
                <w:i/>
                <w:color w:val="595959"/>
                <w:lang w:val="fr-FR"/>
              </w:rPr>
              <w:t xml:space="preserve"> latrines. </w:t>
            </w:r>
          </w:p>
          <w:p w14:paraId="08B02EFD" w14:textId="2A0C537F" w:rsidR="009E225A" w:rsidRPr="00B62056" w:rsidRDefault="009E225A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lastRenderedPageBreak/>
              <w:t>L</w:t>
            </w:r>
            <w:r w:rsidR="00B62056">
              <w:rPr>
                <w:i/>
                <w:color w:val="595959"/>
                <w:lang w:val="fr-FR"/>
              </w:rPr>
              <w:t>es l</w:t>
            </w:r>
            <w:r w:rsidRPr="00B62056">
              <w:rPr>
                <w:i/>
                <w:color w:val="595959"/>
                <w:lang w:val="fr-FR"/>
              </w:rPr>
              <w:t xml:space="preserve">atrines </w:t>
            </w:r>
            <w:r w:rsidR="00B62056">
              <w:rPr>
                <w:i/>
                <w:color w:val="595959"/>
                <w:lang w:val="fr-FR"/>
              </w:rPr>
              <w:t>peuvent être fermées de l’intérieur</w:t>
            </w:r>
            <w:r w:rsidRPr="00B62056">
              <w:rPr>
                <w:i/>
                <w:color w:val="595959"/>
                <w:lang w:val="fr-FR"/>
              </w:rPr>
              <w:t xml:space="preserve">. </w:t>
            </w:r>
          </w:p>
          <w:p w14:paraId="6A075841" w14:textId="50ACABA6" w:rsidR="009E225A" w:rsidRPr="00B62056" w:rsidRDefault="00B62056" w:rsidP="00B62056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Les hommes et les garçons ne traînent pas autour des </w:t>
            </w:r>
            <w:r w:rsidR="009E225A" w:rsidRPr="00B62056">
              <w:rPr>
                <w:i/>
                <w:color w:val="595959"/>
                <w:lang w:val="fr-FR"/>
              </w:rPr>
              <w:t xml:space="preserve">latrines. </w:t>
            </w:r>
          </w:p>
        </w:tc>
        <w:tc>
          <w:tcPr>
            <w:tcW w:w="1080" w:type="pct"/>
          </w:tcPr>
          <w:p w14:paraId="36D1A63B" w14:textId="4DB38929" w:rsidR="009E225A" w:rsidRPr="000130C0" w:rsidRDefault="000130C0" w:rsidP="00317586">
            <w:pPr>
              <w:spacing w:before="0"/>
              <w:rPr>
                <w:i/>
                <w:color w:val="595959"/>
                <w:lang w:val="fr-FR"/>
              </w:rPr>
            </w:pPr>
            <w:r w:rsidRPr="000130C0">
              <w:rPr>
                <w:i/>
                <w:color w:val="595959"/>
                <w:lang w:val="fr-FR"/>
              </w:rPr>
              <w:lastRenderedPageBreak/>
              <w:t>Oui</w:t>
            </w:r>
            <w:r w:rsidR="009E225A" w:rsidRPr="000130C0">
              <w:rPr>
                <w:i/>
                <w:color w:val="595959"/>
                <w:lang w:val="fr-FR"/>
              </w:rPr>
              <w:t xml:space="preserve"> – </w:t>
            </w:r>
            <w:r w:rsidR="00EB57F0">
              <w:rPr>
                <w:i/>
                <w:color w:val="595959"/>
                <w:lang w:val="fr-FR"/>
              </w:rPr>
              <w:t>parce que la Société n</w:t>
            </w:r>
            <w:r w:rsidRPr="000130C0">
              <w:rPr>
                <w:i/>
                <w:color w:val="595959"/>
                <w:lang w:val="fr-FR"/>
              </w:rPr>
              <w:t>ationale a la responsabilité</w:t>
            </w:r>
            <w:r w:rsidR="009E225A" w:rsidRPr="000130C0">
              <w:rPr>
                <w:i/>
                <w:color w:val="595959"/>
                <w:lang w:val="fr-FR"/>
              </w:rPr>
              <w:t xml:space="preserve"> </w:t>
            </w:r>
            <w:r w:rsidRPr="000130C0">
              <w:rPr>
                <w:i/>
                <w:color w:val="595959"/>
                <w:lang w:val="fr-FR"/>
              </w:rPr>
              <w:t>EHA dans ce</w:t>
            </w:r>
            <w:r w:rsidR="009E225A" w:rsidRPr="000130C0">
              <w:rPr>
                <w:i/>
                <w:color w:val="595959"/>
                <w:lang w:val="fr-FR"/>
              </w:rPr>
              <w:t xml:space="preserve"> context</w:t>
            </w:r>
            <w:r w:rsidRPr="000130C0">
              <w:rPr>
                <w:i/>
                <w:color w:val="595959"/>
                <w:lang w:val="fr-FR"/>
              </w:rPr>
              <w:t>e</w:t>
            </w:r>
            <w:r w:rsidR="009E225A" w:rsidRPr="000130C0">
              <w:rPr>
                <w:i/>
                <w:color w:val="595959"/>
                <w:lang w:val="fr-FR"/>
              </w:rPr>
              <w:t xml:space="preserve"> </w:t>
            </w:r>
          </w:p>
          <w:p w14:paraId="23E2FF80" w14:textId="77777777" w:rsidR="009E225A" w:rsidRPr="000130C0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</w:p>
          <w:p w14:paraId="567091B6" w14:textId="77777777" w:rsidR="009E225A" w:rsidRPr="000130C0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</w:p>
          <w:p w14:paraId="3792E682" w14:textId="77A84E2A" w:rsidR="009E225A" w:rsidRPr="00B62056" w:rsidRDefault="00B62056" w:rsidP="00B62056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lastRenderedPageBreak/>
              <w:t>Se c</w:t>
            </w:r>
            <w:r w:rsidR="009E225A" w:rsidRPr="00B62056">
              <w:rPr>
                <w:i/>
                <w:color w:val="595959"/>
                <w:lang w:val="fr-FR"/>
              </w:rPr>
              <w:t>oord</w:t>
            </w:r>
            <w:r>
              <w:rPr>
                <w:i/>
                <w:color w:val="595959"/>
                <w:lang w:val="fr-FR"/>
              </w:rPr>
              <w:t xml:space="preserve">onner avec l’équipe </w:t>
            </w:r>
            <w:r w:rsidR="00EB57F0">
              <w:rPr>
                <w:i/>
                <w:color w:val="595959"/>
                <w:lang w:val="fr-FR"/>
              </w:rPr>
              <w:t xml:space="preserve">Protection Genre et </w:t>
            </w:r>
            <w:r w:rsidR="009E225A" w:rsidRPr="00B62056">
              <w:rPr>
                <w:i/>
                <w:color w:val="595959"/>
                <w:lang w:val="fr-FR"/>
              </w:rPr>
              <w:t>I</w:t>
            </w:r>
            <w:r w:rsidR="00EB57F0">
              <w:rPr>
                <w:i/>
                <w:color w:val="595959"/>
                <w:lang w:val="fr-FR"/>
              </w:rPr>
              <w:t>nclusion (</w:t>
            </w:r>
            <w:proofErr w:type="spellStart"/>
            <w:r w:rsidR="00EB57F0">
              <w:rPr>
                <w:i/>
                <w:color w:val="595959"/>
                <w:lang w:val="fr-FR"/>
              </w:rPr>
              <w:t>PGI</w:t>
            </w:r>
            <w:proofErr w:type="spellEnd"/>
            <w:r w:rsidR="00EB57F0">
              <w:rPr>
                <w:i/>
                <w:color w:val="595959"/>
                <w:lang w:val="fr-FR"/>
              </w:rPr>
              <w:t>)</w:t>
            </w:r>
            <w:r w:rsidR="009E225A" w:rsidRPr="00B62056">
              <w:rPr>
                <w:i/>
                <w:color w:val="595959"/>
                <w:lang w:val="fr-FR"/>
              </w:rPr>
              <w:t xml:space="preserve"> </w:t>
            </w:r>
          </w:p>
        </w:tc>
      </w:tr>
      <w:tr w:rsidR="003D0633" w:rsidRPr="00EB57F0" w14:paraId="211B4422" w14:textId="77777777" w:rsidTr="002756AE">
        <w:tc>
          <w:tcPr>
            <w:tcW w:w="737" w:type="pct"/>
          </w:tcPr>
          <w:p w14:paraId="70FE66F3" w14:textId="4FB76FF1" w:rsidR="009E225A" w:rsidRPr="00B62056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lastRenderedPageBreak/>
              <w:t>Ex</w:t>
            </w:r>
            <w:r w:rsidR="00B62056" w:rsidRPr="00B62056">
              <w:rPr>
                <w:i/>
                <w:color w:val="595959"/>
                <w:lang w:val="fr-FR"/>
              </w:rPr>
              <w:t>e</w:t>
            </w:r>
            <w:r w:rsidRPr="00B62056">
              <w:rPr>
                <w:i/>
                <w:color w:val="595959"/>
                <w:lang w:val="fr-FR"/>
              </w:rPr>
              <w:t>mple</w:t>
            </w:r>
            <w:r w:rsidR="00C73C52">
              <w:rPr>
                <w:i/>
                <w:color w:val="595959"/>
                <w:lang w:val="fr-FR"/>
              </w:rPr>
              <w:t xml:space="preserve"> </w:t>
            </w:r>
            <w:r w:rsidRPr="00B62056">
              <w:rPr>
                <w:i/>
                <w:color w:val="595959"/>
                <w:lang w:val="fr-FR"/>
              </w:rPr>
              <w:t xml:space="preserve">: </w:t>
            </w:r>
          </w:p>
          <w:p w14:paraId="6AC07987" w14:textId="75D61286" w:rsidR="009E225A" w:rsidRPr="00B62056" w:rsidRDefault="00B62056" w:rsidP="004A5297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Les femmes et les jeunes filles </w:t>
            </w:r>
            <w:r w:rsidR="004A5297">
              <w:rPr>
                <w:i/>
                <w:color w:val="595959"/>
                <w:lang w:val="fr-FR"/>
              </w:rPr>
              <w:t>ne disposent d’aucun lieu privatif pour laver et faire sécher les serviettes</w:t>
            </w:r>
            <w:r w:rsidR="009E225A" w:rsidRPr="00B62056">
              <w:rPr>
                <w:i/>
                <w:color w:val="595959"/>
                <w:lang w:val="fr-FR"/>
              </w:rPr>
              <w:t xml:space="preserve"> (</w:t>
            </w:r>
            <w:r w:rsidR="004A5297">
              <w:rPr>
                <w:i/>
                <w:color w:val="595959"/>
                <w:lang w:val="fr-FR"/>
              </w:rPr>
              <w:t>elles les lavent dans la rivière</w:t>
            </w:r>
            <w:r w:rsidR="00EB57F0">
              <w:rPr>
                <w:i/>
                <w:color w:val="595959"/>
                <w:lang w:val="fr-FR"/>
              </w:rPr>
              <w:t xml:space="preserve"> et</w:t>
            </w:r>
            <w:r w:rsidR="009E225A" w:rsidRPr="00B62056">
              <w:rPr>
                <w:i/>
                <w:color w:val="595959"/>
                <w:lang w:val="fr-FR"/>
              </w:rPr>
              <w:t xml:space="preserve"> </w:t>
            </w:r>
            <w:r w:rsidR="004A5297">
              <w:rPr>
                <w:i/>
                <w:color w:val="595959"/>
                <w:lang w:val="fr-FR"/>
              </w:rPr>
              <w:t>les font sécher sur les buissons</w:t>
            </w:r>
            <w:r w:rsidR="009E225A" w:rsidRPr="00B62056">
              <w:rPr>
                <w:i/>
                <w:color w:val="595959"/>
                <w:lang w:val="fr-FR"/>
              </w:rPr>
              <w:t xml:space="preserve">).   </w:t>
            </w:r>
          </w:p>
        </w:tc>
        <w:tc>
          <w:tcPr>
            <w:tcW w:w="796" w:type="pct"/>
          </w:tcPr>
          <w:p w14:paraId="7503169E" w14:textId="379259A7" w:rsidR="009E225A" w:rsidRPr="00B62056" w:rsidRDefault="00DB7C16" w:rsidP="00317586">
            <w:pPr>
              <w:spacing w:before="0"/>
              <w:jc w:val="center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t>1</w:t>
            </w:r>
          </w:p>
        </w:tc>
        <w:tc>
          <w:tcPr>
            <w:tcW w:w="796" w:type="pct"/>
          </w:tcPr>
          <w:p w14:paraId="12879ECB" w14:textId="40F1F00B" w:rsidR="009E225A" w:rsidRPr="00B62056" w:rsidRDefault="003D0633" w:rsidP="003D0633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Les femmes et les jeunes filles ont accès à des installations de lavage et de séchage privatives et adaptées</w:t>
            </w:r>
            <w:r w:rsidR="009E225A" w:rsidRPr="00B62056">
              <w:rPr>
                <w:i/>
                <w:color w:val="595959"/>
                <w:lang w:val="fr-FR"/>
              </w:rPr>
              <w:t xml:space="preserve">. </w:t>
            </w:r>
          </w:p>
        </w:tc>
        <w:tc>
          <w:tcPr>
            <w:tcW w:w="1592" w:type="pct"/>
          </w:tcPr>
          <w:p w14:paraId="77E37ABB" w14:textId="5C3838F9" w:rsidR="009E225A" w:rsidRPr="00B62056" w:rsidRDefault="003D0633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La c</w:t>
            </w:r>
            <w:r w:rsidR="009E225A" w:rsidRPr="00B62056">
              <w:rPr>
                <w:i/>
                <w:color w:val="595959"/>
                <w:lang w:val="fr-FR"/>
              </w:rPr>
              <w:t xml:space="preserve">onstruction </w:t>
            </w:r>
            <w:r>
              <w:rPr>
                <w:i/>
                <w:color w:val="595959"/>
                <w:lang w:val="fr-FR"/>
              </w:rPr>
              <w:t xml:space="preserve">de </w:t>
            </w:r>
            <w:r w:rsidR="008E4FDC">
              <w:rPr>
                <w:i/>
                <w:color w:val="595959"/>
                <w:lang w:val="fr-FR"/>
              </w:rPr>
              <w:t>douches</w:t>
            </w:r>
            <w:r>
              <w:rPr>
                <w:i/>
                <w:color w:val="595959"/>
                <w:lang w:val="fr-FR"/>
              </w:rPr>
              <w:t xml:space="preserve"> qui puissent se fermer, soient privatives et disposent d’un accès</w:t>
            </w:r>
            <w:r w:rsidR="009E225A" w:rsidRPr="00B62056">
              <w:rPr>
                <w:i/>
                <w:color w:val="595959"/>
                <w:lang w:val="fr-FR"/>
              </w:rPr>
              <w:t xml:space="preserve"> suffi</w:t>
            </w:r>
            <w:r>
              <w:rPr>
                <w:i/>
                <w:color w:val="595959"/>
                <w:lang w:val="fr-FR"/>
              </w:rPr>
              <w:t>sant à l’eau et au drainage</w:t>
            </w:r>
            <w:r w:rsidR="009E225A" w:rsidRPr="00B62056">
              <w:rPr>
                <w:i/>
                <w:color w:val="595959"/>
                <w:lang w:val="fr-FR"/>
              </w:rPr>
              <w:t xml:space="preserve">. </w:t>
            </w:r>
          </w:p>
          <w:p w14:paraId="6CE83F7B" w14:textId="01CC8255" w:rsidR="009E225A" w:rsidRPr="00B62056" w:rsidRDefault="003D0633" w:rsidP="003D0633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La c</w:t>
            </w:r>
            <w:r w:rsidR="009E225A" w:rsidRPr="00B62056">
              <w:rPr>
                <w:i/>
                <w:color w:val="595959"/>
                <w:lang w:val="fr-FR"/>
              </w:rPr>
              <w:t xml:space="preserve">onstruction </w:t>
            </w:r>
            <w:r>
              <w:rPr>
                <w:i/>
                <w:color w:val="595959"/>
                <w:lang w:val="fr-FR"/>
              </w:rPr>
              <w:t>de zones pour le séchage</w:t>
            </w:r>
            <w:r w:rsidR="009E225A" w:rsidRPr="00B62056">
              <w:rPr>
                <w:i/>
                <w:color w:val="595959"/>
                <w:lang w:val="fr-FR"/>
              </w:rPr>
              <w:t xml:space="preserve"> O</w:t>
            </w:r>
            <w:r>
              <w:rPr>
                <w:i/>
                <w:color w:val="595959"/>
                <w:lang w:val="fr-FR"/>
              </w:rPr>
              <w:t>U</w:t>
            </w:r>
            <w:r w:rsidR="009E225A" w:rsidRPr="00B62056">
              <w:rPr>
                <w:i/>
                <w:color w:val="595959"/>
                <w:lang w:val="fr-FR"/>
              </w:rPr>
              <w:t xml:space="preserve"> </w:t>
            </w:r>
            <w:r w:rsidR="000130C0">
              <w:rPr>
                <w:i/>
                <w:color w:val="595959"/>
                <w:lang w:val="fr-FR"/>
              </w:rPr>
              <w:t xml:space="preserve">la </w:t>
            </w:r>
            <w:r w:rsidR="009E225A" w:rsidRPr="00B62056">
              <w:rPr>
                <w:i/>
                <w:color w:val="595959"/>
                <w:lang w:val="fr-FR"/>
              </w:rPr>
              <w:t xml:space="preserve">distribution </w:t>
            </w:r>
            <w:r>
              <w:rPr>
                <w:i/>
                <w:color w:val="595959"/>
                <w:lang w:val="fr-FR"/>
              </w:rPr>
              <w:t>de cordes</w:t>
            </w:r>
            <w:r w:rsidR="009E225A" w:rsidRPr="00B62056">
              <w:rPr>
                <w:i/>
                <w:color w:val="595959"/>
                <w:lang w:val="fr-FR"/>
              </w:rPr>
              <w:t>/p</w:t>
            </w:r>
            <w:r>
              <w:rPr>
                <w:i/>
                <w:color w:val="595959"/>
                <w:lang w:val="fr-FR"/>
              </w:rPr>
              <w:t>inces à linge/petits étendoirs à linge pour les femmes et les jeunes filles</w:t>
            </w:r>
            <w:r w:rsidR="009E225A" w:rsidRPr="00B62056">
              <w:rPr>
                <w:i/>
                <w:color w:val="595959"/>
                <w:lang w:val="fr-FR"/>
              </w:rPr>
              <w:t xml:space="preserve">. </w:t>
            </w:r>
          </w:p>
        </w:tc>
        <w:tc>
          <w:tcPr>
            <w:tcW w:w="1080" w:type="pct"/>
          </w:tcPr>
          <w:p w14:paraId="24D85316" w14:textId="272C42F9" w:rsidR="009E225A" w:rsidRPr="00B62056" w:rsidRDefault="000130C0" w:rsidP="00317586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Oui</w:t>
            </w:r>
            <w:r w:rsidR="009E225A" w:rsidRPr="00B62056">
              <w:rPr>
                <w:i/>
                <w:color w:val="595959"/>
                <w:lang w:val="fr-FR"/>
              </w:rPr>
              <w:t xml:space="preserve"> – </w:t>
            </w:r>
            <w:r w:rsidR="003D0633">
              <w:rPr>
                <w:i/>
                <w:color w:val="595959"/>
                <w:lang w:val="fr-FR"/>
              </w:rPr>
              <w:t>pour les actions liées à l’eau</w:t>
            </w:r>
          </w:p>
          <w:p w14:paraId="19F84125" w14:textId="77777777" w:rsidR="009E225A" w:rsidRPr="00B62056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t xml:space="preserve"> </w:t>
            </w:r>
          </w:p>
          <w:p w14:paraId="63E7ED39" w14:textId="22001672" w:rsidR="009E225A" w:rsidRPr="00B62056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  <w:r w:rsidRPr="00B62056">
              <w:rPr>
                <w:i/>
                <w:color w:val="595959"/>
                <w:lang w:val="fr-FR"/>
              </w:rPr>
              <w:t>N</w:t>
            </w:r>
            <w:r w:rsidR="000130C0">
              <w:rPr>
                <w:i/>
                <w:color w:val="595959"/>
                <w:lang w:val="fr-FR"/>
              </w:rPr>
              <w:t>on</w:t>
            </w:r>
            <w:r w:rsidRPr="00B62056">
              <w:rPr>
                <w:i/>
                <w:color w:val="595959"/>
                <w:lang w:val="fr-FR"/>
              </w:rPr>
              <w:t xml:space="preserve"> – </w:t>
            </w:r>
            <w:r w:rsidR="003D0633">
              <w:rPr>
                <w:i/>
                <w:color w:val="595959"/>
                <w:lang w:val="fr-FR"/>
              </w:rPr>
              <w:t>pour les autres</w:t>
            </w:r>
            <w:r w:rsidR="00C73C52">
              <w:rPr>
                <w:i/>
                <w:color w:val="595959"/>
                <w:lang w:val="fr-FR"/>
              </w:rPr>
              <w:t xml:space="preserve"> </w:t>
            </w:r>
            <w:r w:rsidRPr="00B62056">
              <w:rPr>
                <w:i/>
                <w:color w:val="595959"/>
                <w:lang w:val="fr-FR"/>
              </w:rPr>
              <w:t xml:space="preserve">: </w:t>
            </w:r>
            <w:r w:rsidR="003D0633">
              <w:rPr>
                <w:i/>
                <w:color w:val="595959"/>
                <w:lang w:val="fr-FR"/>
              </w:rPr>
              <w:t>une autre</w:t>
            </w:r>
            <w:r w:rsidRPr="00B62056">
              <w:rPr>
                <w:i/>
                <w:color w:val="595959"/>
                <w:lang w:val="fr-FR"/>
              </w:rPr>
              <w:t xml:space="preserve"> agenc</w:t>
            </w:r>
            <w:r w:rsidR="003D0633">
              <w:rPr>
                <w:i/>
                <w:color w:val="595959"/>
                <w:lang w:val="fr-FR"/>
              </w:rPr>
              <w:t>e</w:t>
            </w:r>
            <w:r w:rsidR="000130C0">
              <w:rPr>
                <w:i/>
                <w:color w:val="595959"/>
                <w:lang w:val="fr-FR"/>
              </w:rPr>
              <w:t>/équipe</w:t>
            </w:r>
            <w:r w:rsidR="003D0633">
              <w:rPr>
                <w:i/>
                <w:color w:val="595959"/>
                <w:lang w:val="fr-FR"/>
              </w:rPr>
              <w:t xml:space="preserve"> est</w:t>
            </w:r>
            <w:r w:rsidRPr="00B62056">
              <w:rPr>
                <w:i/>
                <w:color w:val="595959"/>
                <w:lang w:val="fr-FR"/>
              </w:rPr>
              <w:t xml:space="preserve"> respons</w:t>
            </w:r>
            <w:r w:rsidR="003D0633">
              <w:rPr>
                <w:i/>
                <w:color w:val="595959"/>
                <w:lang w:val="fr-FR"/>
              </w:rPr>
              <w:t>a</w:t>
            </w:r>
            <w:r w:rsidRPr="00B62056">
              <w:rPr>
                <w:i/>
                <w:color w:val="595959"/>
                <w:lang w:val="fr-FR"/>
              </w:rPr>
              <w:t xml:space="preserve">ble </w:t>
            </w:r>
            <w:r w:rsidR="003D0633">
              <w:rPr>
                <w:i/>
                <w:color w:val="595959"/>
                <w:lang w:val="fr-FR"/>
              </w:rPr>
              <w:t xml:space="preserve">pour les </w:t>
            </w:r>
            <w:r w:rsidR="008E4FDC">
              <w:rPr>
                <w:i/>
                <w:color w:val="595959"/>
                <w:lang w:val="fr-FR"/>
              </w:rPr>
              <w:t>douches.</w:t>
            </w:r>
            <w:r w:rsidRPr="00B62056">
              <w:rPr>
                <w:i/>
                <w:color w:val="595959"/>
                <w:lang w:val="fr-FR"/>
              </w:rPr>
              <w:t xml:space="preserve"> </w:t>
            </w:r>
            <w:r w:rsidR="003D0633">
              <w:rPr>
                <w:i/>
                <w:color w:val="595959"/>
                <w:lang w:val="fr-FR"/>
              </w:rPr>
              <w:t>Se coordonner avec l</w:t>
            </w:r>
            <w:r w:rsidR="00D772C2">
              <w:rPr>
                <w:i/>
                <w:color w:val="595959"/>
                <w:lang w:val="fr-FR"/>
              </w:rPr>
              <w:t xml:space="preserve">e secteur </w:t>
            </w:r>
            <w:r w:rsidR="00EB57F0">
              <w:rPr>
                <w:i/>
                <w:color w:val="595959"/>
                <w:lang w:val="fr-FR"/>
              </w:rPr>
              <w:t>Abris et l’équipe des Produits Non Alimentaires (</w:t>
            </w:r>
            <w:proofErr w:type="spellStart"/>
            <w:r w:rsidR="00EB57F0">
              <w:rPr>
                <w:i/>
                <w:color w:val="595959"/>
                <w:lang w:val="fr-FR"/>
              </w:rPr>
              <w:t>PNA</w:t>
            </w:r>
            <w:proofErr w:type="spellEnd"/>
            <w:r w:rsidR="00EB57F0">
              <w:rPr>
                <w:i/>
                <w:color w:val="595959"/>
                <w:lang w:val="fr-FR"/>
              </w:rPr>
              <w:t>)</w:t>
            </w:r>
            <w:r w:rsidRPr="00B62056">
              <w:rPr>
                <w:i/>
                <w:color w:val="595959"/>
                <w:lang w:val="fr-FR"/>
              </w:rPr>
              <w:t xml:space="preserve">. </w:t>
            </w:r>
          </w:p>
          <w:p w14:paraId="53849A2B" w14:textId="77777777" w:rsidR="009E225A" w:rsidRPr="00B62056" w:rsidRDefault="009E225A" w:rsidP="00317586">
            <w:pPr>
              <w:spacing w:before="0"/>
              <w:rPr>
                <w:i/>
                <w:color w:val="595959"/>
                <w:lang w:val="fr-FR"/>
              </w:rPr>
            </w:pPr>
          </w:p>
        </w:tc>
      </w:tr>
      <w:tr w:rsidR="003D0633" w:rsidRPr="00EB57F0" w14:paraId="38372068" w14:textId="77777777" w:rsidTr="002756AE">
        <w:tc>
          <w:tcPr>
            <w:tcW w:w="737" w:type="pct"/>
          </w:tcPr>
          <w:p w14:paraId="2714529F" w14:textId="376671FD" w:rsidR="009E225A" w:rsidRPr="004A5297" w:rsidRDefault="009E225A" w:rsidP="004A5297">
            <w:pPr>
              <w:spacing w:before="0"/>
              <w:rPr>
                <w:i/>
                <w:color w:val="595959"/>
                <w:lang w:val="fr-FR"/>
              </w:rPr>
            </w:pPr>
            <w:r w:rsidRPr="004A5297">
              <w:rPr>
                <w:i/>
                <w:color w:val="595959"/>
                <w:lang w:val="fr-FR"/>
              </w:rPr>
              <w:t>Ex</w:t>
            </w:r>
            <w:r w:rsidR="004A5297" w:rsidRPr="004A5297">
              <w:rPr>
                <w:i/>
                <w:color w:val="595959"/>
                <w:lang w:val="fr-FR"/>
              </w:rPr>
              <w:t>e</w:t>
            </w:r>
            <w:r w:rsidRPr="004A5297">
              <w:rPr>
                <w:i/>
                <w:color w:val="595959"/>
                <w:lang w:val="fr-FR"/>
              </w:rPr>
              <w:t>mple</w:t>
            </w:r>
            <w:r w:rsidR="00C73C52">
              <w:rPr>
                <w:i/>
                <w:color w:val="595959"/>
                <w:lang w:val="fr-FR"/>
              </w:rPr>
              <w:t xml:space="preserve"> </w:t>
            </w:r>
            <w:r w:rsidRPr="004A5297">
              <w:rPr>
                <w:i/>
                <w:color w:val="595959"/>
                <w:lang w:val="fr-FR"/>
              </w:rPr>
              <w:t xml:space="preserve">: </w:t>
            </w:r>
          </w:p>
          <w:p w14:paraId="2E117E08" w14:textId="4756E270" w:rsidR="009E225A" w:rsidRPr="004A5297" w:rsidRDefault="004A5297" w:rsidP="004A5297">
            <w:pPr>
              <w:spacing w:before="0"/>
              <w:rPr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Les femmes et les jeunes filles </w:t>
            </w:r>
            <w:r w:rsidR="009E225A" w:rsidRPr="004A5297">
              <w:rPr>
                <w:i/>
                <w:color w:val="595959"/>
                <w:lang w:val="fr-FR"/>
              </w:rPr>
              <w:t>n</w:t>
            </w:r>
            <w:r>
              <w:rPr>
                <w:i/>
                <w:color w:val="595959"/>
                <w:lang w:val="fr-FR"/>
              </w:rPr>
              <w:t>e disposent d’aucun matériel sanitaire pour absorber leurs écoulements menstruels</w:t>
            </w:r>
            <w:r w:rsidR="00A01C27" w:rsidRPr="004A5297">
              <w:rPr>
                <w:i/>
                <w:color w:val="595959"/>
                <w:lang w:val="fr-FR"/>
              </w:rPr>
              <w:t xml:space="preserve"> </w:t>
            </w:r>
            <w:r w:rsidR="00687539" w:rsidRPr="004A5297">
              <w:rPr>
                <w:i/>
                <w:color w:val="595959"/>
                <w:lang w:val="fr-FR"/>
              </w:rPr>
              <w:t>(</w:t>
            </w:r>
            <w:r w:rsidRPr="004A5297">
              <w:rPr>
                <w:i/>
                <w:color w:val="595959"/>
                <w:lang w:val="fr-FR"/>
              </w:rPr>
              <w:t>parce qu’elles ont été déplacées</w:t>
            </w:r>
            <w:r w:rsidR="00687539" w:rsidRPr="004A5297">
              <w:rPr>
                <w:i/>
                <w:color w:val="595959"/>
                <w:lang w:val="fr-FR"/>
              </w:rPr>
              <w:t>)</w:t>
            </w:r>
            <w:r w:rsidR="00A01C27" w:rsidRPr="004A5297">
              <w:rPr>
                <w:i/>
                <w:color w:val="595959"/>
                <w:lang w:val="fr-FR"/>
              </w:rPr>
              <w:t xml:space="preserve">. </w:t>
            </w:r>
          </w:p>
        </w:tc>
        <w:tc>
          <w:tcPr>
            <w:tcW w:w="796" w:type="pct"/>
          </w:tcPr>
          <w:p w14:paraId="701CBCCA" w14:textId="6B74236A" w:rsidR="009E225A" w:rsidRPr="00DA10BF" w:rsidRDefault="009E225A" w:rsidP="009E225A">
            <w:pPr>
              <w:spacing w:before="0"/>
              <w:jc w:val="center"/>
            </w:pPr>
            <w:r>
              <w:t>1</w:t>
            </w:r>
          </w:p>
        </w:tc>
        <w:tc>
          <w:tcPr>
            <w:tcW w:w="796" w:type="pct"/>
          </w:tcPr>
          <w:p w14:paraId="198380F4" w14:textId="4C529226" w:rsidR="009E225A" w:rsidRPr="004A5297" w:rsidRDefault="004A5297" w:rsidP="004A5297">
            <w:pPr>
              <w:spacing w:before="0"/>
              <w:rPr>
                <w:lang w:val="fr-FR"/>
              </w:rPr>
            </w:pPr>
            <w:r w:rsidRPr="004A5297">
              <w:rPr>
                <w:i/>
                <w:color w:val="595959"/>
                <w:lang w:val="fr-FR"/>
              </w:rPr>
              <w:t>Les femmes et les jeunes filles ont accès à des serviettes hygiéniques adaptées</w:t>
            </w:r>
            <w:r w:rsidR="009E225A" w:rsidRPr="004A5297">
              <w:rPr>
                <w:i/>
                <w:color w:val="595959"/>
                <w:lang w:val="fr-FR"/>
              </w:rPr>
              <w:t xml:space="preserve"> (</w:t>
            </w:r>
            <w:r>
              <w:rPr>
                <w:i/>
                <w:color w:val="595959"/>
                <w:lang w:val="fr-FR"/>
              </w:rPr>
              <w:t xml:space="preserve">sur la </w:t>
            </w:r>
            <w:r w:rsidR="009E225A" w:rsidRPr="004A5297">
              <w:rPr>
                <w:i/>
                <w:color w:val="595959"/>
                <w:lang w:val="fr-FR"/>
              </w:rPr>
              <w:t>base</w:t>
            </w:r>
            <w:r>
              <w:rPr>
                <w:i/>
                <w:color w:val="595959"/>
                <w:lang w:val="fr-FR"/>
              </w:rPr>
              <w:t xml:space="preserve"> de leurs préférences et du</w:t>
            </w:r>
            <w:r w:rsidR="009E225A" w:rsidRPr="004A5297">
              <w:rPr>
                <w:i/>
                <w:color w:val="595959"/>
                <w:lang w:val="fr-FR"/>
              </w:rPr>
              <w:t xml:space="preserve"> context</w:t>
            </w:r>
            <w:r>
              <w:rPr>
                <w:i/>
                <w:color w:val="595959"/>
                <w:lang w:val="fr-FR"/>
              </w:rPr>
              <w:t>e</w:t>
            </w:r>
            <w:r w:rsidR="009E225A" w:rsidRPr="004A5297">
              <w:rPr>
                <w:i/>
                <w:color w:val="595959"/>
                <w:lang w:val="fr-FR"/>
              </w:rPr>
              <w:t xml:space="preserve">) </w:t>
            </w:r>
            <w:r>
              <w:rPr>
                <w:i/>
                <w:color w:val="595959"/>
                <w:lang w:val="fr-FR"/>
              </w:rPr>
              <w:t>pour absorber leurs écoulements menstruels</w:t>
            </w:r>
            <w:r w:rsidR="009E225A" w:rsidRPr="004A5297">
              <w:rPr>
                <w:i/>
                <w:color w:val="595959"/>
                <w:lang w:val="fr-FR"/>
              </w:rPr>
              <w:t>.</w:t>
            </w:r>
          </w:p>
        </w:tc>
        <w:tc>
          <w:tcPr>
            <w:tcW w:w="1592" w:type="pct"/>
          </w:tcPr>
          <w:p w14:paraId="02B01779" w14:textId="64083CC9" w:rsidR="00E96550" w:rsidRPr="004A5297" w:rsidRDefault="000130C0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D</w:t>
            </w:r>
            <w:r w:rsidR="009E225A" w:rsidRPr="004A5297">
              <w:rPr>
                <w:i/>
                <w:color w:val="595959"/>
                <w:lang w:val="fr-FR"/>
              </w:rPr>
              <w:t xml:space="preserve">istribution </w:t>
            </w:r>
            <w:r w:rsidR="004A5297" w:rsidRPr="004A5297">
              <w:rPr>
                <w:i/>
                <w:color w:val="595959"/>
                <w:lang w:val="fr-FR"/>
              </w:rPr>
              <w:t>aux femmes et aux jeunes filles</w:t>
            </w:r>
            <w:r>
              <w:rPr>
                <w:i/>
                <w:color w:val="595959"/>
                <w:lang w:val="fr-FR"/>
              </w:rPr>
              <w:t xml:space="preserve"> </w:t>
            </w:r>
            <w:r w:rsidRPr="004A5297">
              <w:rPr>
                <w:i/>
                <w:color w:val="595959"/>
                <w:lang w:val="fr-FR"/>
              </w:rPr>
              <w:t>de serviettes en tissu réutilisable</w:t>
            </w:r>
            <w:r>
              <w:rPr>
                <w:i/>
                <w:color w:val="595959"/>
                <w:lang w:val="fr-FR"/>
              </w:rPr>
              <w:t>s</w:t>
            </w:r>
            <w:r w:rsidR="009E225A" w:rsidRPr="004A5297">
              <w:rPr>
                <w:i/>
                <w:color w:val="595959"/>
                <w:lang w:val="fr-FR"/>
              </w:rPr>
              <w:t xml:space="preserve">, </w:t>
            </w:r>
            <w:r w:rsidR="004A5297">
              <w:rPr>
                <w:i/>
                <w:color w:val="595959"/>
                <w:lang w:val="fr-FR"/>
              </w:rPr>
              <w:t>de même que de sous-vêtements, de seaux</w:t>
            </w:r>
            <w:r w:rsidR="009E225A" w:rsidRPr="004A5297">
              <w:rPr>
                <w:i/>
                <w:color w:val="595959"/>
                <w:lang w:val="fr-FR"/>
              </w:rPr>
              <w:t xml:space="preserve">, </w:t>
            </w:r>
            <w:r w:rsidR="004A5297">
              <w:rPr>
                <w:i/>
                <w:color w:val="595959"/>
                <w:lang w:val="fr-FR"/>
              </w:rPr>
              <w:t>d</w:t>
            </w:r>
            <w:r>
              <w:rPr>
                <w:i/>
                <w:color w:val="595959"/>
                <w:lang w:val="fr-FR"/>
              </w:rPr>
              <w:t>e</w:t>
            </w:r>
            <w:r w:rsidR="004A5297">
              <w:rPr>
                <w:i/>
                <w:color w:val="595959"/>
                <w:lang w:val="fr-FR"/>
              </w:rPr>
              <w:t xml:space="preserve"> savon à lessive</w:t>
            </w:r>
            <w:r w:rsidR="009E225A" w:rsidRPr="004A5297">
              <w:rPr>
                <w:i/>
                <w:color w:val="595959"/>
                <w:lang w:val="fr-FR"/>
              </w:rPr>
              <w:t xml:space="preserve">, </w:t>
            </w:r>
            <w:r w:rsidR="004A5297">
              <w:rPr>
                <w:i/>
                <w:color w:val="595959"/>
                <w:lang w:val="fr-FR"/>
              </w:rPr>
              <w:t>de cordes et d</w:t>
            </w:r>
            <w:r>
              <w:rPr>
                <w:i/>
                <w:color w:val="595959"/>
                <w:lang w:val="fr-FR"/>
              </w:rPr>
              <w:t>’</w:t>
            </w:r>
            <w:r w:rsidR="004A5297">
              <w:rPr>
                <w:i/>
                <w:color w:val="595959"/>
                <w:lang w:val="fr-FR"/>
              </w:rPr>
              <w:t>épingles à linge pour permettre le séchage</w:t>
            </w:r>
            <w:r w:rsidR="009E225A" w:rsidRPr="004A5297">
              <w:rPr>
                <w:i/>
                <w:color w:val="595959"/>
                <w:lang w:val="fr-FR"/>
              </w:rPr>
              <w:t xml:space="preserve">. </w:t>
            </w:r>
          </w:p>
          <w:p w14:paraId="051C0CF5" w14:textId="2AFED1BD" w:rsidR="009E225A" w:rsidRPr="004A5297" w:rsidRDefault="00687539" w:rsidP="009E225A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proofErr w:type="gramStart"/>
            <w:r w:rsidRPr="004A5297">
              <w:rPr>
                <w:i/>
                <w:color w:val="595959"/>
                <w:lang w:val="fr-FR"/>
              </w:rPr>
              <w:t>O</w:t>
            </w:r>
            <w:r w:rsidR="004A5297">
              <w:rPr>
                <w:i/>
                <w:color w:val="595959"/>
                <w:lang w:val="fr-FR"/>
              </w:rPr>
              <w:t>u</w:t>
            </w:r>
            <w:proofErr w:type="gramEnd"/>
            <w:r w:rsidR="004A5297">
              <w:rPr>
                <w:i/>
                <w:color w:val="595959"/>
                <w:lang w:val="fr-FR"/>
              </w:rPr>
              <w:t xml:space="preserve"> </w:t>
            </w:r>
            <w:r w:rsidRPr="004A5297">
              <w:rPr>
                <w:i/>
                <w:color w:val="595959"/>
                <w:lang w:val="fr-FR"/>
              </w:rPr>
              <w:t xml:space="preserve">: </w:t>
            </w:r>
            <w:r w:rsidR="004A5297">
              <w:rPr>
                <w:i/>
                <w:color w:val="595959"/>
                <w:lang w:val="fr-FR"/>
              </w:rPr>
              <w:t xml:space="preserve">de subventions en </w:t>
            </w:r>
            <w:r w:rsidRPr="004A5297">
              <w:rPr>
                <w:i/>
                <w:color w:val="595959"/>
                <w:lang w:val="fr-FR"/>
              </w:rPr>
              <w:t>cash</w:t>
            </w:r>
            <w:r w:rsidR="004A5297">
              <w:rPr>
                <w:i/>
                <w:color w:val="595959"/>
                <w:lang w:val="fr-FR"/>
              </w:rPr>
              <w:t xml:space="preserve"> ou de bons pour les produits d’hygiène</w:t>
            </w:r>
            <w:r w:rsidRPr="004A5297">
              <w:rPr>
                <w:i/>
                <w:color w:val="595959"/>
                <w:lang w:val="fr-FR"/>
              </w:rPr>
              <w:t xml:space="preserve"> menstru</w:t>
            </w:r>
            <w:r w:rsidR="004A5297">
              <w:rPr>
                <w:i/>
                <w:color w:val="595959"/>
                <w:lang w:val="fr-FR"/>
              </w:rPr>
              <w:t>elle</w:t>
            </w:r>
            <w:r w:rsidRPr="004A5297">
              <w:rPr>
                <w:i/>
                <w:color w:val="595959"/>
                <w:lang w:val="fr-FR"/>
              </w:rPr>
              <w:t xml:space="preserve"> </w:t>
            </w:r>
          </w:p>
          <w:p w14:paraId="64F6D5F3" w14:textId="3B87EACA" w:rsidR="009E225A" w:rsidRPr="004A5297" w:rsidRDefault="004A5297" w:rsidP="004A5297">
            <w:pPr>
              <w:numPr>
                <w:ilvl w:val="0"/>
                <w:numId w:val="13"/>
              </w:numPr>
              <w:spacing w:before="0"/>
              <w:ind w:left="203" w:hanging="142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 xml:space="preserve">Réaliser un suivi </w:t>
            </w:r>
            <w:r w:rsidR="009E225A" w:rsidRPr="004A5297">
              <w:rPr>
                <w:i/>
                <w:color w:val="595959"/>
                <w:lang w:val="fr-FR"/>
              </w:rPr>
              <w:t xml:space="preserve">post-distribution </w:t>
            </w:r>
            <w:r>
              <w:rPr>
                <w:i/>
                <w:color w:val="595959"/>
                <w:lang w:val="fr-FR"/>
              </w:rPr>
              <w:t xml:space="preserve">pour contrôler l’utilisation, la </w:t>
            </w:r>
            <w:r w:rsidR="009E225A" w:rsidRPr="004A5297">
              <w:rPr>
                <w:i/>
                <w:color w:val="595959"/>
                <w:lang w:val="fr-FR"/>
              </w:rPr>
              <w:t xml:space="preserve">satisfaction </w:t>
            </w:r>
            <w:r>
              <w:rPr>
                <w:i/>
                <w:color w:val="595959"/>
                <w:lang w:val="fr-FR"/>
              </w:rPr>
              <w:t>et les défis liés à l’utilisation des serviettes</w:t>
            </w:r>
            <w:r w:rsidR="009E225A" w:rsidRPr="004A5297">
              <w:rPr>
                <w:i/>
                <w:color w:val="595959"/>
                <w:lang w:val="fr-FR"/>
              </w:rPr>
              <w:t xml:space="preserve"> etc. </w:t>
            </w:r>
          </w:p>
        </w:tc>
        <w:tc>
          <w:tcPr>
            <w:tcW w:w="1080" w:type="pct"/>
          </w:tcPr>
          <w:p w14:paraId="030708E3" w14:textId="01BA0CEC" w:rsidR="009E225A" w:rsidRPr="004A5297" w:rsidRDefault="000130C0" w:rsidP="003D0633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Oui</w:t>
            </w:r>
            <w:r w:rsidR="009E225A" w:rsidRPr="004A5297">
              <w:rPr>
                <w:i/>
                <w:color w:val="595959"/>
                <w:lang w:val="fr-FR"/>
              </w:rPr>
              <w:t xml:space="preserve"> – </w:t>
            </w:r>
            <w:r w:rsidR="003D0633">
              <w:rPr>
                <w:i/>
                <w:color w:val="595959"/>
                <w:lang w:val="fr-FR"/>
              </w:rPr>
              <w:t>L’é</w:t>
            </w:r>
            <w:r w:rsidR="004A5297">
              <w:rPr>
                <w:i/>
                <w:color w:val="595959"/>
                <w:lang w:val="fr-FR"/>
              </w:rPr>
              <w:t xml:space="preserve">quipe </w:t>
            </w:r>
            <w:r w:rsidR="009E225A" w:rsidRPr="004A5297">
              <w:rPr>
                <w:i/>
                <w:color w:val="595959"/>
                <w:lang w:val="fr-FR"/>
              </w:rPr>
              <w:t xml:space="preserve">PGI </w:t>
            </w:r>
            <w:r w:rsidR="004A5297">
              <w:rPr>
                <w:i/>
                <w:color w:val="595959"/>
                <w:lang w:val="fr-FR"/>
              </w:rPr>
              <w:t xml:space="preserve">distribue des kits de </w:t>
            </w:r>
            <w:r w:rsidR="009E225A" w:rsidRPr="004A5297">
              <w:rPr>
                <w:i/>
                <w:color w:val="595959"/>
                <w:lang w:val="fr-FR"/>
              </w:rPr>
              <w:t>dignit</w:t>
            </w:r>
            <w:r w:rsidR="003D0633">
              <w:rPr>
                <w:i/>
                <w:color w:val="595959"/>
                <w:lang w:val="fr-FR"/>
              </w:rPr>
              <w:t>é</w:t>
            </w:r>
            <w:r w:rsidR="009E225A" w:rsidRPr="004A5297">
              <w:rPr>
                <w:i/>
                <w:color w:val="595959"/>
                <w:lang w:val="fr-FR"/>
              </w:rPr>
              <w:t xml:space="preserve">. </w:t>
            </w:r>
          </w:p>
          <w:p w14:paraId="23496D1A" w14:textId="7AE4A19A" w:rsidR="009E225A" w:rsidRPr="004A5297" w:rsidRDefault="003D0633" w:rsidP="003D0633">
            <w:pPr>
              <w:spacing w:before="0"/>
              <w:rPr>
                <w:i/>
                <w:color w:val="595959"/>
                <w:lang w:val="fr-FR"/>
              </w:rPr>
            </w:pPr>
            <w:r>
              <w:rPr>
                <w:i/>
                <w:color w:val="595959"/>
                <w:lang w:val="fr-FR"/>
              </w:rPr>
              <w:t>S’assurer que les kits de</w:t>
            </w:r>
            <w:r w:rsidR="009E225A" w:rsidRPr="004A5297">
              <w:rPr>
                <w:i/>
                <w:color w:val="595959"/>
                <w:lang w:val="fr-FR"/>
              </w:rPr>
              <w:t xml:space="preserve"> dignit</w:t>
            </w:r>
            <w:r>
              <w:rPr>
                <w:i/>
                <w:color w:val="595959"/>
                <w:lang w:val="fr-FR"/>
              </w:rPr>
              <w:t>é</w:t>
            </w:r>
            <w:r w:rsidR="009E225A" w:rsidRPr="004A5297">
              <w:rPr>
                <w:i/>
                <w:color w:val="595959"/>
                <w:lang w:val="fr-FR"/>
              </w:rPr>
              <w:t xml:space="preserve"> </w:t>
            </w:r>
            <w:r>
              <w:rPr>
                <w:i/>
                <w:color w:val="595959"/>
                <w:lang w:val="fr-FR"/>
              </w:rPr>
              <w:t xml:space="preserve">comprennent TOUS les </w:t>
            </w:r>
            <w:r w:rsidR="00FF5D87">
              <w:rPr>
                <w:i/>
                <w:color w:val="595959"/>
                <w:lang w:val="fr-FR"/>
              </w:rPr>
              <w:t>articles</w:t>
            </w:r>
            <w:r>
              <w:rPr>
                <w:i/>
                <w:color w:val="595959"/>
                <w:lang w:val="fr-FR"/>
              </w:rPr>
              <w:t xml:space="preserve"> </w:t>
            </w:r>
            <w:r w:rsidR="000130C0">
              <w:rPr>
                <w:i/>
                <w:color w:val="595959"/>
                <w:lang w:val="fr-FR"/>
              </w:rPr>
              <w:t xml:space="preserve">de base </w:t>
            </w:r>
            <w:r>
              <w:rPr>
                <w:i/>
                <w:color w:val="595959"/>
                <w:lang w:val="fr-FR"/>
              </w:rPr>
              <w:t>de GHM</w:t>
            </w:r>
            <w:r w:rsidR="009E225A" w:rsidRPr="004A5297">
              <w:rPr>
                <w:i/>
                <w:color w:val="595959"/>
                <w:lang w:val="fr-FR"/>
              </w:rPr>
              <w:t xml:space="preserve"> </w:t>
            </w:r>
          </w:p>
          <w:p w14:paraId="52EB4D58" w14:textId="77777777" w:rsidR="009E225A" w:rsidRPr="004A5297" w:rsidRDefault="009E225A" w:rsidP="003D0633">
            <w:pPr>
              <w:spacing w:before="0"/>
              <w:rPr>
                <w:i/>
                <w:color w:val="595959"/>
                <w:lang w:val="fr-FR"/>
              </w:rPr>
            </w:pPr>
          </w:p>
          <w:p w14:paraId="6C7AA5CA" w14:textId="74EB42F1" w:rsidR="009E225A" w:rsidRPr="003D0633" w:rsidRDefault="00E96550">
            <w:pPr>
              <w:spacing w:before="0"/>
              <w:rPr>
                <w:lang w:val="fr-FR"/>
              </w:rPr>
            </w:pPr>
            <w:r w:rsidRPr="003D0633">
              <w:rPr>
                <w:i/>
                <w:color w:val="595959"/>
                <w:lang w:val="fr-FR"/>
              </w:rPr>
              <w:t xml:space="preserve">PGI </w:t>
            </w:r>
            <w:r w:rsidR="003D0633" w:rsidRPr="003D0633">
              <w:rPr>
                <w:i/>
                <w:color w:val="595959"/>
                <w:lang w:val="fr-FR"/>
              </w:rPr>
              <w:t>doit se</w:t>
            </w:r>
            <w:r w:rsidRPr="003D0633">
              <w:rPr>
                <w:i/>
                <w:color w:val="595959"/>
                <w:lang w:val="fr-FR"/>
              </w:rPr>
              <w:t xml:space="preserve"> co</w:t>
            </w:r>
            <w:r w:rsidR="009E225A" w:rsidRPr="003D0633">
              <w:rPr>
                <w:i/>
                <w:color w:val="595959"/>
                <w:lang w:val="fr-FR"/>
              </w:rPr>
              <w:t>ord</w:t>
            </w:r>
            <w:r w:rsidR="003D0633" w:rsidRPr="003D0633">
              <w:rPr>
                <w:i/>
                <w:color w:val="595959"/>
                <w:lang w:val="fr-FR"/>
              </w:rPr>
              <w:t>onner avec</w:t>
            </w:r>
            <w:r w:rsidR="009E225A" w:rsidRPr="003D0633">
              <w:rPr>
                <w:i/>
                <w:color w:val="595959"/>
                <w:lang w:val="fr-FR"/>
              </w:rPr>
              <w:t xml:space="preserve"> </w:t>
            </w:r>
            <w:proofErr w:type="spellStart"/>
            <w:r w:rsidR="006C18FB">
              <w:rPr>
                <w:i/>
                <w:color w:val="595959"/>
                <w:lang w:val="fr-FR"/>
              </w:rPr>
              <w:t>EHA</w:t>
            </w:r>
            <w:proofErr w:type="spellEnd"/>
            <w:r w:rsidR="00D772C2" w:rsidRPr="003D0633">
              <w:rPr>
                <w:i/>
                <w:color w:val="595959"/>
                <w:lang w:val="fr-FR"/>
              </w:rPr>
              <w:t xml:space="preserve"> </w:t>
            </w:r>
            <w:r w:rsidR="002756AE" w:rsidRPr="003D0633">
              <w:rPr>
                <w:i/>
                <w:color w:val="595959"/>
                <w:lang w:val="fr-FR"/>
              </w:rPr>
              <w:t>(</w:t>
            </w:r>
            <w:r w:rsidRPr="003D0633">
              <w:rPr>
                <w:i/>
                <w:color w:val="595959"/>
                <w:lang w:val="fr-FR"/>
              </w:rPr>
              <w:t>acc</w:t>
            </w:r>
            <w:r w:rsidR="003D0633" w:rsidRPr="003D0633">
              <w:rPr>
                <w:i/>
                <w:color w:val="595959"/>
                <w:lang w:val="fr-FR"/>
              </w:rPr>
              <w:t>ès à l’eau</w:t>
            </w:r>
            <w:r w:rsidR="002756AE" w:rsidRPr="003D0633">
              <w:rPr>
                <w:i/>
                <w:color w:val="595959"/>
                <w:lang w:val="fr-FR"/>
              </w:rPr>
              <w:t xml:space="preserve">, </w:t>
            </w:r>
            <w:r w:rsidR="003D0633">
              <w:rPr>
                <w:i/>
                <w:color w:val="595959"/>
                <w:lang w:val="fr-FR"/>
              </w:rPr>
              <w:t xml:space="preserve">à des latrines, à des </w:t>
            </w:r>
            <w:r w:rsidR="008E4FDC">
              <w:rPr>
                <w:i/>
                <w:color w:val="595959"/>
                <w:lang w:val="fr-FR"/>
              </w:rPr>
              <w:t>douches</w:t>
            </w:r>
            <w:r w:rsidR="003D0633">
              <w:rPr>
                <w:i/>
                <w:color w:val="595959"/>
                <w:lang w:val="fr-FR"/>
              </w:rPr>
              <w:t xml:space="preserve"> et à des installations d’élimination des déchets </w:t>
            </w:r>
            <w:r w:rsidR="003D0633" w:rsidRPr="003D0633">
              <w:rPr>
                <w:i/>
                <w:color w:val="595959"/>
                <w:lang w:val="fr-FR"/>
              </w:rPr>
              <w:t>privative</w:t>
            </w:r>
            <w:r w:rsidR="003D0633">
              <w:rPr>
                <w:i/>
                <w:color w:val="595959"/>
                <w:lang w:val="fr-FR"/>
              </w:rPr>
              <w:t>s</w:t>
            </w:r>
            <w:r w:rsidR="003D0633" w:rsidRPr="003D0633">
              <w:rPr>
                <w:i/>
                <w:color w:val="595959"/>
                <w:lang w:val="fr-FR"/>
              </w:rPr>
              <w:t xml:space="preserve"> et s</w:t>
            </w:r>
            <w:r w:rsidR="003D0633">
              <w:rPr>
                <w:i/>
                <w:color w:val="595959"/>
                <w:lang w:val="fr-FR"/>
              </w:rPr>
              <w:t>ûres</w:t>
            </w:r>
            <w:r w:rsidR="002756AE" w:rsidRPr="003D0633">
              <w:rPr>
                <w:i/>
                <w:color w:val="595959"/>
                <w:lang w:val="fr-FR"/>
              </w:rPr>
              <w:t xml:space="preserve">) </w:t>
            </w:r>
            <w:r w:rsidRPr="003D0633">
              <w:rPr>
                <w:i/>
                <w:color w:val="595959"/>
                <w:lang w:val="fr-FR"/>
              </w:rPr>
              <w:t xml:space="preserve"> </w:t>
            </w:r>
          </w:p>
        </w:tc>
      </w:tr>
      <w:tr w:rsidR="004A5297" w:rsidRPr="00DA10BF" w14:paraId="61E75214" w14:textId="77777777" w:rsidTr="002756AE">
        <w:tc>
          <w:tcPr>
            <w:tcW w:w="737" w:type="pct"/>
          </w:tcPr>
          <w:p w14:paraId="35E31085" w14:textId="03243F31" w:rsidR="009E225A" w:rsidRPr="00DA10BF" w:rsidRDefault="009E225A" w:rsidP="00317586">
            <w:pPr>
              <w:spacing w:before="0"/>
            </w:pPr>
            <w:r w:rsidRPr="00DA10BF">
              <w:t xml:space="preserve">… </w:t>
            </w:r>
          </w:p>
        </w:tc>
        <w:tc>
          <w:tcPr>
            <w:tcW w:w="796" w:type="pct"/>
          </w:tcPr>
          <w:p w14:paraId="62FD96E1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35922A6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43718424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74E720EE" w14:textId="77777777" w:rsidR="009E225A" w:rsidRPr="00DA10BF" w:rsidRDefault="009E225A" w:rsidP="00317586">
            <w:pPr>
              <w:spacing w:before="0"/>
            </w:pPr>
          </w:p>
        </w:tc>
      </w:tr>
      <w:tr w:rsidR="004A5297" w:rsidRPr="00DA10BF" w14:paraId="4DE2F577" w14:textId="77777777" w:rsidTr="002756AE">
        <w:tc>
          <w:tcPr>
            <w:tcW w:w="737" w:type="pct"/>
          </w:tcPr>
          <w:p w14:paraId="7F735CE9" w14:textId="6159D113" w:rsidR="009E225A" w:rsidRPr="00DA10BF" w:rsidRDefault="009E225A" w:rsidP="00317586">
            <w:pPr>
              <w:spacing w:before="0"/>
            </w:pPr>
            <w:r>
              <w:t xml:space="preserve">… </w:t>
            </w:r>
          </w:p>
        </w:tc>
        <w:tc>
          <w:tcPr>
            <w:tcW w:w="796" w:type="pct"/>
          </w:tcPr>
          <w:p w14:paraId="07C054E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7885D7F0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41BA10F7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1A29BA76" w14:textId="77777777" w:rsidR="009E225A" w:rsidRPr="00DA10BF" w:rsidRDefault="009E225A" w:rsidP="00317586">
            <w:pPr>
              <w:spacing w:before="0"/>
            </w:pPr>
          </w:p>
        </w:tc>
      </w:tr>
      <w:tr w:rsidR="004A5297" w:rsidRPr="00DA10BF" w14:paraId="28E45153" w14:textId="77777777" w:rsidTr="002756AE">
        <w:tc>
          <w:tcPr>
            <w:tcW w:w="737" w:type="pct"/>
          </w:tcPr>
          <w:p w14:paraId="5AB12319" w14:textId="68F4DFB8" w:rsidR="009E225A" w:rsidRDefault="009E225A" w:rsidP="00317586">
            <w:pPr>
              <w:spacing w:before="0"/>
            </w:pPr>
            <w:r>
              <w:lastRenderedPageBreak/>
              <w:t xml:space="preserve">… </w:t>
            </w:r>
          </w:p>
        </w:tc>
        <w:tc>
          <w:tcPr>
            <w:tcW w:w="796" w:type="pct"/>
          </w:tcPr>
          <w:p w14:paraId="589C64D3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796" w:type="pct"/>
          </w:tcPr>
          <w:p w14:paraId="02D4DE54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592" w:type="pct"/>
          </w:tcPr>
          <w:p w14:paraId="3B61F0AB" w14:textId="77777777" w:rsidR="009E225A" w:rsidRPr="00DA10BF" w:rsidRDefault="009E225A" w:rsidP="00317586">
            <w:pPr>
              <w:spacing w:before="0"/>
            </w:pPr>
          </w:p>
        </w:tc>
        <w:tc>
          <w:tcPr>
            <w:tcW w:w="1080" w:type="pct"/>
          </w:tcPr>
          <w:p w14:paraId="375A93C9" w14:textId="77777777" w:rsidR="009E225A" w:rsidRPr="00DA10BF" w:rsidRDefault="009E225A" w:rsidP="00317586">
            <w:pPr>
              <w:spacing w:before="0"/>
            </w:pPr>
          </w:p>
        </w:tc>
      </w:tr>
    </w:tbl>
    <w:p w14:paraId="0244C0C8" w14:textId="77777777" w:rsidR="009E225A" w:rsidRPr="00DA10BF" w:rsidRDefault="009E225A" w:rsidP="009E225A">
      <w:pPr>
        <w:spacing w:before="0"/>
        <w:rPr>
          <w:sz w:val="20"/>
          <w:szCs w:val="20"/>
        </w:rPr>
      </w:pPr>
    </w:p>
    <w:p w14:paraId="22A46145" w14:textId="63868496" w:rsidR="009E225A" w:rsidRPr="00FF5D87" w:rsidRDefault="00DB4303" w:rsidP="009E225A">
      <w:pPr>
        <w:rPr>
          <w:b/>
          <w:color w:val="FF0000"/>
          <w:lang w:val="fr-FR"/>
        </w:rPr>
      </w:pPr>
      <w:r w:rsidRPr="00FF5D87">
        <w:rPr>
          <w:b/>
          <w:color w:val="FF0000"/>
          <w:lang w:val="fr-FR"/>
        </w:rPr>
        <w:t xml:space="preserve">Actions </w:t>
      </w:r>
      <w:r w:rsidR="00FF5D87" w:rsidRPr="00FF5D87">
        <w:rPr>
          <w:b/>
          <w:color w:val="FF0000"/>
          <w:lang w:val="fr-FR"/>
        </w:rPr>
        <w:t xml:space="preserve">provenant de la </w:t>
      </w:r>
      <w:r w:rsidRPr="00FF5D87">
        <w:rPr>
          <w:b/>
          <w:color w:val="FF0000"/>
          <w:lang w:val="fr-FR"/>
        </w:rPr>
        <w:t>c</w:t>
      </w:r>
      <w:r w:rsidR="002756AE" w:rsidRPr="00FF5D87">
        <w:rPr>
          <w:b/>
          <w:color w:val="FF0000"/>
          <w:lang w:val="fr-FR"/>
        </w:rPr>
        <w:t>ol</w:t>
      </w:r>
      <w:r w:rsidR="00FF5D87" w:rsidRPr="00FF5D87">
        <w:rPr>
          <w:b/>
          <w:color w:val="FF0000"/>
          <w:lang w:val="fr-FR"/>
        </w:rPr>
        <w:t>onne</w:t>
      </w:r>
      <w:r w:rsidR="009E225A" w:rsidRPr="00FF5D87">
        <w:rPr>
          <w:b/>
          <w:color w:val="FF0000"/>
          <w:lang w:val="fr-FR"/>
        </w:rPr>
        <w:t xml:space="preserve"> 5</w:t>
      </w:r>
      <w:r w:rsidR="007B5D2D">
        <w:rPr>
          <w:b/>
          <w:color w:val="FF0000"/>
          <w:lang w:val="fr-FR"/>
        </w:rPr>
        <w:t xml:space="preserve"> </w:t>
      </w:r>
      <w:r w:rsidR="009E225A" w:rsidRPr="00FF5D87">
        <w:rPr>
          <w:b/>
          <w:color w:val="FF0000"/>
          <w:lang w:val="fr-FR"/>
        </w:rPr>
        <w:t xml:space="preserve">: </w:t>
      </w:r>
    </w:p>
    <w:p w14:paraId="2AC17534" w14:textId="086CC38C" w:rsidR="002756AE" w:rsidRDefault="002756AE" w:rsidP="009E225A">
      <w:bookmarkStart w:id="0" w:name="_GoBack"/>
      <w:r>
        <w:rPr>
          <w:noProof/>
          <w:lang w:val="fr-FR" w:eastAsia="fr-FR"/>
        </w:rPr>
        <w:drawing>
          <wp:inline distT="0" distB="0" distL="0" distR="0" wp14:anchorId="4F968F13" wp14:editId="5ED21812">
            <wp:extent cx="7237828" cy="1842868"/>
            <wp:effectExtent l="0" t="19050" r="20320" b="431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6874F245" w14:textId="365C09E1" w:rsidR="00DF70F3" w:rsidRP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sectPr w:rsidR="00DF70F3" w:rsidRPr="00DF70F3" w:rsidSect="009E225A">
      <w:headerReference w:type="default" r:id="rId16"/>
      <w:footerReference w:type="default" r:id="rId17"/>
      <w:footerReference w:type="first" r:id="rId18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1BFA" w14:textId="77777777" w:rsidR="003231D5" w:rsidRDefault="003231D5">
      <w:r>
        <w:separator/>
      </w:r>
    </w:p>
    <w:p w14:paraId="32520702" w14:textId="77777777" w:rsidR="003231D5" w:rsidRDefault="003231D5"/>
    <w:p w14:paraId="0FE3B29E" w14:textId="77777777" w:rsidR="003231D5" w:rsidRDefault="003231D5"/>
  </w:endnote>
  <w:endnote w:type="continuationSeparator" w:id="0">
    <w:p w14:paraId="41BBCF31" w14:textId="77777777" w:rsidR="003231D5" w:rsidRDefault="003231D5">
      <w:r>
        <w:continuationSeparator/>
      </w:r>
    </w:p>
    <w:p w14:paraId="5D085E45" w14:textId="77777777" w:rsidR="003231D5" w:rsidRDefault="003231D5"/>
    <w:p w14:paraId="2515643F" w14:textId="77777777" w:rsidR="003231D5" w:rsidRDefault="00323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10526"/>
      <w:docPartObj>
        <w:docPartGallery w:val="Page Numbers (Bottom of Page)"/>
        <w:docPartUnique/>
      </w:docPartObj>
    </w:sdtPr>
    <w:sdtContent>
      <w:sdt>
        <w:sdtPr>
          <w:id w:val="-1895730600"/>
          <w:docPartObj>
            <w:docPartGallery w:val="Page Numbers (Top of Page)"/>
            <w:docPartUnique/>
          </w:docPartObj>
        </w:sdtPr>
        <w:sdtContent>
          <w:p w14:paraId="76A5DFD7" w14:textId="49659484" w:rsidR="00EB57F0" w:rsidRDefault="00EB57F0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0E3F7674" wp14:editId="31D4B967">
                  <wp:simplePos x="0" y="0"/>
                  <wp:positionH relativeFrom="column">
                    <wp:posOffset>-39757</wp:posOffset>
                  </wp:positionH>
                  <wp:positionV relativeFrom="paragraph">
                    <wp:posOffset>221174</wp:posOffset>
                  </wp:positionV>
                  <wp:extent cx="3805200" cy="543600"/>
                  <wp:effectExtent l="0" t="0" r="5080" b="8890"/>
                  <wp:wrapSquare wrapText="bothSides"/>
                  <wp:docPr id="7" name="Image 7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D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D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271E5791" w:rsidR="00463DC9" w:rsidRDefault="00EB57F0" w:rsidP="00EB57F0">
    <w:pPr>
      <w:pStyle w:val="Pieddepage"/>
      <w:tabs>
        <w:tab w:val="clear" w:pos="4320"/>
        <w:tab w:val="clear" w:pos="8640"/>
        <w:tab w:val="left" w:pos="355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450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46567B" w14:textId="4B5AD6B4" w:rsidR="00EB57F0" w:rsidRDefault="00EB57F0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4CD9E681" wp14:editId="069218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173520</wp:posOffset>
                  </wp:positionV>
                  <wp:extent cx="3805200" cy="543600"/>
                  <wp:effectExtent l="0" t="0" r="5080" b="8890"/>
                  <wp:wrapSquare wrapText="bothSides"/>
                  <wp:docPr id="6" name="Image 6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D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6D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02700A66" w:rsidR="00463DC9" w:rsidRPr="008E4FDC" w:rsidRDefault="00463DC9" w:rsidP="00EB57F0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EC7F" w14:textId="77777777" w:rsidR="003231D5" w:rsidRDefault="003231D5">
      <w:r>
        <w:separator/>
      </w:r>
    </w:p>
    <w:p w14:paraId="29FC6F26" w14:textId="77777777" w:rsidR="003231D5" w:rsidRDefault="003231D5"/>
    <w:p w14:paraId="5440C252" w14:textId="77777777" w:rsidR="003231D5" w:rsidRDefault="003231D5"/>
  </w:footnote>
  <w:footnote w:type="continuationSeparator" w:id="0">
    <w:p w14:paraId="6345D2C1" w14:textId="77777777" w:rsidR="003231D5" w:rsidRDefault="003231D5">
      <w:r>
        <w:continuationSeparator/>
      </w:r>
    </w:p>
    <w:p w14:paraId="08B3102E" w14:textId="77777777" w:rsidR="003231D5" w:rsidRDefault="003231D5"/>
    <w:p w14:paraId="588074EC" w14:textId="77777777" w:rsidR="003231D5" w:rsidRDefault="003231D5"/>
  </w:footnote>
  <w:footnote w:id="1">
    <w:p w14:paraId="0366FF13" w14:textId="23037DAB" w:rsidR="000130C0" w:rsidRPr="009E225A" w:rsidRDefault="000130C0" w:rsidP="000130C0">
      <w:pPr>
        <w:pStyle w:val="Notedebasdepage"/>
        <w:rPr>
          <w:lang w:val="en-N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C73C52">
        <w:rPr>
          <w:color w:val="000000"/>
          <w:sz w:val="18"/>
          <w:szCs w:val="18"/>
        </w:rPr>
        <w:t>Adapté</w:t>
      </w:r>
      <w:proofErr w:type="spellEnd"/>
      <w:r w:rsidR="00C73C52">
        <w:rPr>
          <w:color w:val="000000"/>
          <w:sz w:val="18"/>
          <w:szCs w:val="18"/>
        </w:rPr>
        <w:t xml:space="preserve"> de</w:t>
      </w:r>
      <w:r>
        <w:rPr>
          <w:color w:val="000000"/>
          <w:sz w:val="18"/>
          <w:szCs w:val="18"/>
        </w:rPr>
        <w:t xml:space="preserve">: Save the Children, </w:t>
      </w:r>
      <w:r>
        <w:rPr>
          <w:i/>
          <w:color w:val="000000"/>
          <w:sz w:val="18"/>
          <w:szCs w:val="18"/>
        </w:rPr>
        <w:t>Menstrual Hygiene Management Operational Guidelines</w:t>
      </w:r>
      <w:r>
        <w:rPr>
          <w:color w:val="000000"/>
          <w:sz w:val="18"/>
          <w:szCs w:val="18"/>
        </w:rPr>
        <w:t xml:space="preserve">, 2015 &lt;http://www.savethechildren.org/atf/cf/%7B9def2ebe-10ae-432c-9bd0-df91d2eba74a%7D/MENSTRUAL_HYGIENE_MANAGEMENT_OPERATIONAL_GUIDELINES.PDF&gt;.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7C82425A" w:rsidR="00463DC9" w:rsidRPr="00FF5D87" w:rsidRDefault="00463DC9" w:rsidP="00FF5D87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FF5D87">
      <w:rPr>
        <w:rFonts w:ascii="Arial" w:hAnsi="Arial" w:cs="Caecilia-Light"/>
        <w:color w:val="FF0000"/>
        <w:sz w:val="16"/>
        <w:szCs w:val="14"/>
        <w:lang w:val="fr-FR"/>
      </w:rPr>
      <w:t>F</w:t>
    </w:r>
    <w:r w:rsidR="00FF5D87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FF5D87">
      <w:rPr>
        <w:rFonts w:ascii="Arial" w:hAnsi="Arial" w:cs="Caecilia-Light"/>
        <w:color w:val="FF0000"/>
        <w:sz w:val="16"/>
        <w:szCs w:val="14"/>
        <w:lang w:val="fr-FR"/>
      </w:rPr>
      <w:t>d</w:t>
    </w:r>
    <w:r w:rsidR="00FF5D87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FF5D87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 w:rsidR="00EB57F0">
      <w:rPr>
        <w:rFonts w:ascii="Arial" w:hAnsi="Arial" w:cs="Caecilia-Light"/>
        <w:color w:val="FF0000"/>
        <w:sz w:val="16"/>
        <w:szCs w:val="14"/>
        <w:lang w:val="fr-FR"/>
      </w:rPr>
      <w:t>i</w:t>
    </w:r>
    <w:r w:rsidR="00FF5D87" w:rsidRPr="00FF5D87">
      <w:rPr>
        <w:rFonts w:ascii="Arial" w:hAnsi="Arial" w:cs="Caecilia-Light"/>
        <w:color w:val="FF0000"/>
        <w:sz w:val="16"/>
        <w:szCs w:val="14"/>
        <w:lang w:val="fr-FR"/>
      </w:rPr>
      <w:t>nternationale des Sociétés de</w:t>
    </w:r>
    <w:r w:rsidR="00EB57F0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="00FF5D87" w:rsidRPr="00FF5D87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FF5D87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FF5D87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E26DFD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3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FF5D87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FF5D87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FF5D87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="00FF5D87" w:rsidRPr="00FF5D87">
      <w:rPr>
        <w:rFonts w:ascii="Arial" w:hAnsi="Arial"/>
        <w:b/>
        <w:sz w:val="16"/>
        <w:lang w:val="fr-FR"/>
      </w:rPr>
      <w:t>Gestion de l’</w:t>
    </w:r>
    <w:r w:rsidR="007369C2" w:rsidRPr="00FF5D87">
      <w:rPr>
        <w:rFonts w:ascii="Arial" w:hAnsi="Arial"/>
        <w:b/>
        <w:sz w:val="16"/>
        <w:lang w:val="fr-FR"/>
      </w:rPr>
      <w:t>Hygi</w:t>
    </w:r>
    <w:r w:rsidR="00FF5D87">
      <w:rPr>
        <w:rFonts w:ascii="Arial" w:hAnsi="Arial"/>
        <w:b/>
        <w:sz w:val="16"/>
        <w:lang w:val="fr-FR"/>
      </w:rPr>
      <w:t>è</w:t>
    </w:r>
    <w:r w:rsidR="007369C2" w:rsidRPr="00FF5D87">
      <w:rPr>
        <w:rFonts w:ascii="Arial" w:hAnsi="Arial"/>
        <w:b/>
        <w:sz w:val="16"/>
        <w:lang w:val="fr-FR"/>
      </w:rPr>
      <w:t>ne M</w:t>
    </w:r>
    <w:r w:rsidR="00FF5D87">
      <w:rPr>
        <w:rFonts w:ascii="Arial" w:hAnsi="Arial"/>
        <w:b/>
        <w:sz w:val="16"/>
        <w:lang w:val="fr-FR"/>
      </w:rPr>
      <w:t>enstruelle</w:t>
    </w:r>
    <w:r w:rsidR="007369C2" w:rsidRPr="00FF5D87">
      <w:rPr>
        <w:rFonts w:ascii="Arial" w:hAnsi="Arial"/>
        <w:b/>
        <w:sz w:val="16"/>
        <w:lang w:val="fr-FR"/>
      </w:rPr>
      <w:t xml:space="preserve"> (</w:t>
    </w:r>
    <w:proofErr w:type="spellStart"/>
    <w:r w:rsidR="00FF5D87">
      <w:rPr>
        <w:rFonts w:ascii="Arial" w:hAnsi="Arial"/>
        <w:b/>
        <w:sz w:val="16"/>
        <w:lang w:val="fr-FR"/>
      </w:rPr>
      <w:t>G</w:t>
    </w:r>
    <w:r w:rsidR="007369C2" w:rsidRPr="00FF5D87">
      <w:rPr>
        <w:rFonts w:ascii="Arial" w:hAnsi="Arial"/>
        <w:b/>
        <w:sz w:val="16"/>
        <w:lang w:val="fr-FR"/>
      </w:rPr>
      <w:t>HM</w:t>
    </w:r>
    <w:proofErr w:type="spellEnd"/>
    <w:r w:rsidR="007369C2" w:rsidRPr="00FF5D87">
      <w:rPr>
        <w:rFonts w:ascii="Arial" w:hAnsi="Arial"/>
        <w:b/>
        <w:sz w:val="16"/>
        <w:lang w:val="fr-FR"/>
      </w:rPr>
      <w:t xml:space="preserve">) </w:t>
    </w:r>
    <w:r w:rsidR="00FF5D87">
      <w:rPr>
        <w:rFonts w:ascii="Arial" w:hAnsi="Arial"/>
        <w:b/>
        <w:sz w:val="16"/>
        <w:lang w:val="fr-FR"/>
      </w:rPr>
      <w:t>e</w:t>
    </w:r>
    <w:r w:rsidR="007369C2" w:rsidRPr="00FF5D87">
      <w:rPr>
        <w:rFonts w:ascii="Arial" w:hAnsi="Arial"/>
        <w:b/>
        <w:sz w:val="16"/>
        <w:lang w:val="fr-FR"/>
      </w:rPr>
      <w:t xml:space="preserve">n </w:t>
    </w:r>
    <w:r w:rsidR="00FF5D87">
      <w:rPr>
        <w:rFonts w:ascii="Arial" w:hAnsi="Arial"/>
        <w:b/>
        <w:sz w:val="16"/>
        <w:lang w:val="fr-FR"/>
      </w:rPr>
      <w:t>situation d’urgence</w:t>
    </w:r>
    <w:r w:rsidRPr="00FF5D87">
      <w:rPr>
        <w:rFonts w:ascii="Arial" w:hAnsi="Arial"/>
        <w:b/>
        <w:sz w:val="16"/>
        <w:lang w:val="fr-FR"/>
      </w:rPr>
      <w:t>/</w:t>
    </w:r>
    <w:r w:rsidRPr="00FF5D87">
      <w:rPr>
        <w:rFonts w:ascii="Arial" w:hAnsi="Arial"/>
        <w:b/>
        <w:color w:val="FF0000"/>
        <w:sz w:val="16"/>
        <w:lang w:val="fr-FR"/>
      </w:rPr>
      <w:t>F</w:t>
    </w:r>
    <w:r w:rsidR="00FF5D87">
      <w:rPr>
        <w:rFonts w:ascii="Arial" w:hAnsi="Arial"/>
        <w:b/>
        <w:color w:val="FF0000"/>
        <w:sz w:val="16"/>
        <w:lang w:val="fr-FR"/>
      </w:rPr>
      <w:t>ICR</w:t>
    </w:r>
    <w:r w:rsidRPr="00FF5D87">
      <w:rPr>
        <w:rFonts w:ascii="Arial" w:hAnsi="Arial"/>
        <w:b/>
        <w:sz w:val="16"/>
        <w:lang w:val="fr-FR"/>
      </w:rPr>
      <w:t>/</w:t>
    </w:r>
    <w:r w:rsidR="00FF5D87">
      <w:rPr>
        <w:rFonts w:ascii="Arial" w:hAnsi="Arial"/>
        <w:b/>
        <w:color w:val="7F7F7F"/>
        <w:sz w:val="16"/>
        <w:lang w:val="fr-FR"/>
      </w:rPr>
      <w:t>V</w:t>
    </w:r>
    <w:r w:rsidR="00041F05" w:rsidRPr="00FF5D87">
      <w:rPr>
        <w:rFonts w:ascii="Arial" w:hAnsi="Arial"/>
        <w:b/>
        <w:color w:val="7F7F7F"/>
        <w:sz w:val="16"/>
        <w:lang w:val="fr-FR"/>
      </w:rPr>
      <w:t xml:space="preserve">ersion </w:t>
    </w:r>
    <w:r w:rsidR="00FF5D87" w:rsidRPr="00FF5D87">
      <w:rPr>
        <w:rFonts w:ascii="Arial" w:hAnsi="Arial"/>
        <w:b/>
        <w:color w:val="7F7F7F"/>
        <w:sz w:val="16"/>
        <w:lang w:val="fr-FR"/>
      </w:rPr>
      <w:t>Pilot</w:t>
    </w:r>
    <w:r w:rsidR="00FF5D87">
      <w:rPr>
        <w:rFonts w:ascii="Arial" w:hAnsi="Arial"/>
        <w:b/>
        <w:color w:val="7F7F7F"/>
        <w:sz w:val="16"/>
        <w:lang w:val="fr-FR"/>
      </w:rPr>
      <w:t>e</w:t>
    </w:r>
  </w:p>
  <w:p w14:paraId="1A66B684" w14:textId="77777777" w:rsidR="00463DC9" w:rsidRPr="00FF5D87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21E"/>
    <w:multiLevelType w:val="multilevel"/>
    <w:tmpl w:val="516065F0"/>
    <w:lvl w:ilvl="0">
      <w:start w:val="1"/>
      <w:numFmt w:val="bullet"/>
      <w:lvlText w:val="-"/>
      <w:lvlJc w:val="left"/>
      <w:pPr>
        <w:ind w:left="23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30C0"/>
    <w:rsid w:val="00016F0F"/>
    <w:rsid w:val="00021F6B"/>
    <w:rsid w:val="00036D05"/>
    <w:rsid w:val="00041F05"/>
    <w:rsid w:val="00075A92"/>
    <w:rsid w:val="00091191"/>
    <w:rsid w:val="000A3B95"/>
    <w:rsid w:val="000D34D3"/>
    <w:rsid w:val="00102F65"/>
    <w:rsid w:val="00165ED1"/>
    <w:rsid w:val="00181B33"/>
    <w:rsid w:val="001A444B"/>
    <w:rsid w:val="001B0201"/>
    <w:rsid w:val="001C352F"/>
    <w:rsid w:val="001D403F"/>
    <w:rsid w:val="001D5551"/>
    <w:rsid w:val="001E2BFF"/>
    <w:rsid w:val="001E2D6C"/>
    <w:rsid w:val="001E72A6"/>
    <w:rsid w:val="001F1600"/>
    <w:rsid w:val="00207B8D"/>
    <w:rsid w:val="0022474F"/>
    <w:rsid w:val="0024425E"/>
    <w:rsid w:val="002756AE"/>
    <w:rsid w:val="00280271"/>
    <w:rsid w:val="00285F6D"/>
    <w:rsid w:val="002942E3"/>
    <w:rsid w:val="002960C0"/>
    <w:rsid w:val="002B7D79"/>
    <w:rsid w:val="002C33A1"/>
    <w:rsid w:val="002E312E"/>
    <w:rsid w:val="002F0442"/>
    <w:rsid w:val="00312A9C"/>
    <w:rsid w:val="003231D5"/>
    <w:rsid w:val="0036620D"/>
    <w:rsid w:val="00386C68"/>
    <w:rsid w:val="00394150"/>
    <w:rsid w:val="0039586B"/>
    <w:rsid w:val="003B7FF7"/>
    <w:rsid w:val="003D05BF"/>
    <w:rsid w:val="003D0633"/>
    <w:rsid w:val="003D15AD"/>
    <w:rsid w:val="003D5439"/>
    <w:rsid w:val="003E384A"/>
    <w:rsid w:val="003E4915"/>
    <w:rsid w:val="00411CFE"/>
    <w:rsid w:val="00463DC9"/>
    <w:rsid w:val="00463DE6"/>
    <w:rsid w:val="00471F97"/>
    <w:rsid w:val="0047665C"/>
    <w:rsid w:val="0048491F"/>
    <w:rsid w:val="00495F92"/>
    <w:rsid w:val="004A5297"/>
    <w:rsid w:val="004B2494"/>
    <w:rsid w:val="004F38FA"/>
    <w:rsid w:val="00500603"/>
    <w:rsid w:val="00520887"/>
    <w:rsid w:val="00522986"/>
    <w:rsid w:val="00535EA1"/>
    <w:rsid w:val="00552020"/>
    <w:rsid w:val="00567431"/>
    <w:rsid w:val="005A7CD4"/>
    <w:rsid w:val="005C2E75"/>
    <w:rsid w:val="005F0DE7"/>
    <w:rsid w:val="005F4C7A"/>
    <w:rsid w:val="0061122D"/>
    <w:rsid w:val="00631BF2"/>
    <w:rsid w:val="00681EA5"/>
    <w:rsid w:val="00684F95"/>
    <w:rsid w:val="00687539"/>
    <w:rsid w:val="00697F18"/>
    <w:rsid w:val="006A597F"/>
    <w:rsid w:val="006C18FB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407C6"/>
    <w:rsid w:val="00746CE2"/>
    <w:rsid w:val="0077573C"/>
    <w:rsid w:val="00795BD7"/>
    <w:rsid w:val="007A6C18"/>
    <w:rsid w:val="007B5D2D"/>
    <w:rsid w:val="007C20B5"/>
    <w:rsid w:val="007D040A"/>
    <w:rsid w:val="00813487"/>
    <w:rsid w:val="00822F55"/>
    <w:rsid w:val="008471D5"/>
    <w:rsid w:val="00860EED"/>
    <w:rsid w:val="0088055B"/>
    <w:rsid w:val="008901B5"/>
    <w:rsid w:val="008B5931"/>
    <w:rsid w:val="008E4FDC"/>
    <w:rsid w:val="008F16E5"/>
    <w:rsid w:val="009056C5"/>
    <w:rsid w:val="009136D1"/>
    <w:rsid w:val="00923110"/>
    <w:rsid w:val="00924574"/>
    <w:rsid w:val="00936DF9"/>
    <w:rsid w:val="00961429"/>
    <w:rsid w:val="00987137"/>
    <w:rsid w:val="00997B23"/>
    <w:rsid w:val="009A50E7"/>
    <w:rsid w:val="009B1042"/>
    <w:rsid w:val="009E225A"/>
    <w:rsid w:val="00A009F8"/>
    <w:rsid w:val="00A01C27"/>
    <w:rsid w:val="00A31341"/>
    <w:rsid w:val="00A445D3"/>
    <w:rsid w:val="00A55C54"/>
    <w:rsid w:val="00AA5858"/>
    <w:rsid w:val="00AB6165"/>
    <w:rsid w:val="00AE7B03"/>
    <w:rsid w:val="00B00105"/>
    <w:rsid w:val="00B04B93"/>
    <w:rsid w:val="00B47EAA"/>
    <w:rsid w:val="00B62056"/>
    <w:rsid w:val="00B76B39"/>
    <w:rsid w:val="00BD2911"/>
    <w:rsid w:val="00C10676"/>
    <w:rsid w:val="00C4015D"/>
    <w:rsid w:val="00C40435"/>
    <w:rsid w:val="00C43F73"/>
    <w:rsid w:val="00C51D04"/>
    <w:rsid w:val="00C73C52"/>
    <w:rsid w:val="00CA57E9"/>
    <w:rsid w:val="00CA79DE"/>
    <w:rsid w:val="00CC3037"/>
    <w:rsid w:val="00CD7B53"/>
    <w:rsid w:val="00CE0131"/>
    <w:rsid w:val="00D35576"/>
    <w:rsid w:val="00D65EC5"/>
    <w:rsid w:val="00D65EDA"/>
    <w:rsid w:val="00D67CFC"/>
    <w:rsid w:val="00D772C2"/>
    <w:rsid w:val="00DB4303"/>
    <w:rsid w:val="00DB7C16"/>
    <w:rsid w:val="00DD595E"/>
    <w:rsid w:val="00DF0B8F"/>
    <w:rsid w:val="00DF70F3"/>
    <w:rsid w:val="00DF728F"/>
    <w:rsid w:val="00E02BA3"/>
    <w:rsid w:val="00E26DFD"/>
    <w:rsid w:val="00E45BB2"/>
    <w:rsid w:val="00E46A2F"/>
    <w:rsid w:val="00E7753B"/>
    <w:rsid w:val="00E86845"/>
    <w:rsid w:val="00E96550"/>
    <w:rsid w:val="00EB57F0"/>
    <w:rsid w:val="00EE230F"/>
    <w:rsid w:val="00EE4E20"/>
    <w:rsid w:val="00EF1DBF"/>
    <w:rsid w:val="00F07EC1"/>
    <w:rsid w:val="00F21401"/>
    <w:rsid w:val="00F31A6F"/>
    <w:rsid w:val="00F46A0B"/>
    <w:rsid w:val="00F50B43"/>
    <w:rsid w:val="00F55704"/>
    <w:rsid w:val="00F667F4"/>
    <w:rsid w:val="00F80FA3"/>
    <w:rsid w:val="00F94139"/>
    <w:rsid w:val="00FC2FA7"/>
    <w:rsid w:val="00FF592A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D040A"/>
    <w:rPr>
      <w:rFonts w:ascii="Arial" w:eastAsia="Arial" w:hAnsi="Arial" w:cs="Arial"/>
      <w:sz w:val="22"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F916C-87D8-43AD-8402-783F3A3B2037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D1B6BD57-FF88-4668-8681-B3FEB0F4E342}">
      <dgm:prSet phldrT="[Text]" custT="1"/>
      <dgm:spPr/>
      <dgm:t>
        <a:bodyPr/>
        <a:lstStyle/>
        <a:p>
          <a:r>
            <a:rPr lang="en-NZ" sz="1200"/>
            <a:t>Si OUI</a:t>
          </a:r>
        </a:p>
      </dgm:t>
    </dgm:pt>
    <dgm:pt modelId="{0F6CFC79-95CF-40A3-A37B-F6D38392F625}" type="parTrans" cxnId="{5F1F13ED-1BB0-4F71-8582-B6EAF3068A1C}">
      <dgm:prSet/>
      <dgm:spPr/>
      <dgm:t>
        <a:bodyPr/>
        <a:lstStyle/>
        <a:p>
          <a:endParaRPr lang="en-NZ"/>
        </a:p>
      </dgm:t>
    </dgm:pt>
    <dgm:pt modelId="{24280EDA-FD4B-4C47-9959-0F44663331EB}" type="sibTrans" cxnId="{5F1F13ED-1BB0-4F71-8582-B6EAF3068A1C}">
      <dgm:prSet/>
      <dgm:spPr/>
      <dgm:t>
        <a:bodyPr/>
        <a:lstStyle/>
        <a:p>
          <a:endParaRPr lang="en-NZ"/>
        </a:p>
      </dgm:t>
    </dgm:pt>
    <dgm:pt modelId="{E626A50F-D6EB-4B47-BD92-02AD1B521837}">
      <dgm:prSet phldrT="[Text]" custT="1"/>
      <dgm:spPr/>
      <dgm:t>
        <a:bodyPr/>
        <a:lstStyle/>
        <a:p>
          <a:r>
            <a:rPr lang="en-NZ" sz="1200"/>
            <a:t>Envisager d'ajouter l'action ou l'activité dans le Plan d'Action (Pd'A) de l'Urgence </a:t>
          </a:r>
        </a:p>
      </dgm:t>
    </dgm:pt>
    <dgm:pt modelId="{0CAC3604-FAA9-4BBA-B485-B3EFCB3CB80B}" type="parTrans" cxnId="{6DAF18F9-8FB0-4A87-A64D-E4E2CC323A12}">
      <dgm:prSet/>
      <dgm:spPr/>
      <dgm:t>
        <a:bodyPr/>
        <a:lstStyle/>
        <a:p>
          <a:endParaRPr lang="en-NZ"/>
        </a:p>
      </dgm:t>
    </dgm:pt>
    <dgm:pt modelId="{2A6A7BC4-56A4-4408-8EFC-CBCD0C0AE2FB}" type="sibTrans" cxnId="{6DAF18F9-8FB0-4A87-A64D-E4E2CC323A12}">
      <dgm:prSet/>
      <dgm:spPr/>
      <dgm:t>
        <a:bodyPr/>
        <a:lstStyle/>
        <a:p>
          <a:endParaRPr lang="en-NZ"/>
        </a:p>
      </dgm:t>
    </dgm:pt>
    <dgm:pt modelId="{2CE1B53B-2DB7-4AA0-B915-D09867295B4C}">
      <dgm:prSet phldrT="[Text]" custT="1"/>
      <dgm:spPr/>
      <dgm:t>
        <a:bodyPr/>
        <a:lstStyle/>
        <a:p>
          <a:r>
            <a:rPr lang="en-NZ" sz="1200"/>
            <a:t>Si NON </a:t>
          </a:r>
        </a:p>
      </dgm:t>
    </dgm:pt>
    <dgm:pt modelId="{FA37AC13-52A6-4837-9B83-E7F39C0D0F99}" type="parTrans" cxnId="{7FFC5FDF-0F56-4DD0-B5A4-F330CE862989}">
      <dgm:prSet/>
      <dgm:spPr/>
      <dgm:t>
        <a:bodyPr/>
        <a:lstStyle/>
        <a:p>
          <a:endParaRPr lang="en-NZ"/>
        </a:p>
      </dgm:t>
    </dgm:pt>
    <dgm:pt modelId="{016AD685-F158-494C-9CD1-AF1D7E7AC50B}" type="sibTrans" cxnId="{7FFC5FDF-0F56-4DD0-B5A4-F330CE862989}">
      <dgm:prSet/>
      <dgm:spPr/>
      <dgm:t>
        <a:bodyPr/>
        <a:lstStyle/>
        <a:p>
          <a:endParaRPr lang="en-NZ"/>
        </a:p>
      </dgm:t>
    </dgm:pt>
    <dgm:pt modelId="{307CB849-90B0-4E6A-B722-52B4DA8D46E9}">
      <dgm:prSet phldrT="[Text]" custT="1"/>
      <dgm:spPr/>
      <dgm:t>
        <a:bodyPr/>
        <a:lstStyle/>
        <a:p>
          <a:r>
            <a:rPr lang="fr-FR" sz="1200"/>
            <a:t>Plaider auprès des partenaires et des autres parties prenantes pour que le problème soit résolu. </a:t>
          </a:r>
          <a:r>
            <a:rPr lang="en-NZ" sz="1200"/>
            <a:t> </a:t>
          </a:r>
        </a:p>
      </dgm:t>
    </dgm:pt>
    <dgm:pt modelId="{1E2AB474-A346-4A97-96EE-968DC1CB4EC4}" type="parTrans" cxnId="{8570301E-A908-4791-BCE4-301E1519B79F}">
      <dgm:prSet/>
      <dgm:spPr/>
      <dgm:t>
        <a:bodyPr/>
        <a:lstStyle/>
        <a:p>
          <a:endParaRPr lang="en-NZ"/>
        </a:p>
      </dgm:t>
    </dgm:pt>
    <dgm:pt modelId="{BC5471A8-7817-419F-B08F-30278365F334}" type="sibTrans" cxnId="{8570301E-A908-4791-BCE4-301E1519B79F}">
      <dgm:prSet/>
      <dgm:spPr/>
      <dgm:t>
        <a:bodyPr/>
        <a:lstStyle/>
        <a:p>
          <a:endParaRPr lang="en-NZ"/>
        </a:p>
      </dgm:t>
    </dgm:pt>
    <dgm:pt modelId="{E80DF6B7-3B0E-4F0E-8510-B4828C7F3D5E}">
      <dgm:prSet phldrT="[Text]" custT="1"/>
      <dgm:spPr/>
      <dgm:t>
        <a:bodyPr/>
        <a:lstStyle/>
        <a:p>
          <a:r>
            <a:rPr lang="en-NZ" sz="1200"/>
            <a:t>Penser également aux capacités et à l'expertise de la CR/CR et aux demandes ou décisions des gouvernements/des clusters </a:t>
          </a:r>
        </a:p>
      </dgm:t>
    </dgm:pt>
    <dgm:pt modelId="{AE625F56-FA70-4AC3-992A-FB3324743BE2}" type="parTrans" cxnId="{E9ACCFCF-5419-4581-B7FB-9F0EB940482F}">
      <dgm:prSet/>
      <dgm:spPr/>
      <dgm:t>
        <a:bodyPr/>
        <a:lstStyle/>
        <a:p>
          <a:endParaRPr lang="fr-FR"/>
        </a:p>
      </dgm:t>
    </dgm:pt>
    <dgm:pt modelId="{A016911E-E93D-4AC9-8428-BE0413267AE2}" type="sibTrans" cxnId="{E9ACCFCF-5419-4581-B7FB-9F0EB940482F}">
      <dgm:prSet/>
      <dgm:spPr/>
      <dgm:t>
        <a:bodyPr/>
        <a:lstStyle/>
        <a:p>
          <a:endParaRPr lang="fr-FR"/>
        </a:p>
      </dgm:t>
    </dgm:pt>
    <dgm:pt modelId="{06232868-224E-4D66-9057-E60EA723B820}">
      <dgm:prSet phldrT="[Text]" custT="1"/>
      <dgm:spPr/>
      <dgm:t>
        <a:bodyPr/>
        <a:lstStyle/>
        <a:p>
          <a:r>
            <a:rPr lang="en-NZ" sz="1200"/>
            <a:t>Se coordonner avec les autres agences et les autres secteurs </a:t>
          </a:r>
        </a:p>
      </dgm:t>
    </dgm:pt>
    <dgm:pt modelId="{6685D22B-3383-4508-A78F-1501F31B32B1}" type="parTrans" cxnId="{446552FE-261D-4BB7-9280-99FF3B5A8B71}">
      <dgm:prSet/>
      <dgm:spPr/>
      <dgm:t>
        <a:bodyPr/>
        <a:lstStyle/>
        <a:p>
          <a:endParaRPr lang="fr-FR"/>
        </a:p>
      </dgm:t>
    </dgm:pt>
    <dgm:pt modelId="{7F4684BE-CD88-40FC-B5F0-2D517B83A40C}" type="sibTrans" cxnId="{446552FE-261D-4BB7-9280-99FF3B5A8B71}">
      <dgm:prSet/>
      <dgm:spPr/>
      <dgm:t>
        <a:bodyPr/>
        <a:lstStyle/>
        <a:p>
          <a:endParaRPr lang="fr-FR"/>
        </a:p>
      </dgm:t>
    </dgm:pt>
    <dgm:pt modelId="{5940706D-44D1-4083-9181-A5BFBC5CB6D3}">
      <dgm:prSet phldrT="[Text]" custT="1"/>
      <dgm:spPr/>
      <dgm:t>
        <a:bodyPr/>
        <a:lstStyle/>
        <a:p>
          <a:r>
            <a:rPr lang="en-NZ" sz="1200"/>
            <a:t>Poursuivre le suivi de la situation pour d'éventuels changements</a:t>
          </a:r>
        </a:p>
      </dgm:t>
    </dgm:pt>
    <dgm:pt modelId="{C3FC0F46-720D-46A6-A4A8-1F1FDF3D1BF5}" type="parTrans" cxnId="{6513F7FA-6D72-45FC-B2D1-FB55640A41A5}">
      <dgm:prSet/>
      <dgm:spPr/>
      <dgm:t>
        <a:bodyPr/>
        <a:lstStyle/>
        <a:p>
          <a:endParaRPr lang="fr-FR"/>
        </a:p>
      </dgm:t>
    </dgm:pt>
    <dgm:pt modelId="{470C736F-809C-4F8D-847D-94CEF46F7FBD}" type="sibTrans" cxnId="{6513F7FA-6D72-45FC-B2D1-FB55640A41A5}">
      <dgm:prSet/>
      <dgm:spPr/>
      <dgm:t>
        <a:bodyPr/>
        <a:lstStyle/>
        <a:p>
          <a:endParaRPr lang="fr-FR"/>
        </a:p>
      </dgm:t>
    </dgm:pt>
    <dgm:pt modelId="{C6A8B781-F155-431B-9470-3A2AE870E9E0}">
      <dgm:prSet phldrT="[Text]" custT="1"/>
      <dgm:spPr/>
      <dgm:t>
        <a:bodyPr/>
        <a:lstStyle/>
        <a:p>
          <a:r>
            <a:rPr lang="en-NZ" sz="1200"/>
            <a:t>Se coordonner avec les autres agences et secteurs </a:t>
          </a:r>
        </a:p>
      </dgm:t>
    </dgm:pt>
    <dgm:pt modelId="{549FE4F6-80BC-4BF2-8028-66343779B417}" type="parTrans" cxnId="{9E3DC987-1754-4132-8915-CD8ADD4D3426}">
      <dgm:prSet/>
      <dgm:spPr/>
      <dgm:t>
        <a:bodyPr/>
        <a:lstStyle/>
        <a:p>
          <a:endParaRPr lang="fr-FR"/>
        </a:p>
      </dgm:t>
    </dgm:pt>
    <dgm:pt modelId="{C427E25F-2CE2-48E8-9898-B87321B92CE7}" type="sibTrans" cxnId="{9E3DC987-1754-4132-8915-CD8ADD4D3426}">
      <dgm:prSet/>
      <dgm:spPr/>
      <dgm:t>
        <a:bodyPr/>
        <a:lstStyle/>
        <a:p>
          <a:endParaRPr lang="fr-FR"/>
        </a:p>
      </dgm:t>
    </dgm:pt>
    <dgm:pt modelId="{E5CD686E-6615-4F94-8E3C-8C926F99ACFB}" type="pres">
      <dgm:prSet presAssocID="{6F9F916C-87D8-43AD-8402-783F3A3B203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8C6D0258-84A0-4E20-A549-ADCFD9619B55}" type="pres">
      <dgm:prSet presAssocID="{D1B6BD57-FF88-4668-8681-B3FEB0F4E342}" presName="linNode" presStyleCnt="0"/>
      <dgm:spPr/>
    </dgm:pt>
    <dgm:pt modelId="{48B1EA65-7B4F-4F24-B485-BF7AB98D97E8}" type="pres">
      <dgm:prSet presAssocID="{D1B6BD57-FF88-4668-8681-B3FEB0F4E342}" presName="parTx" presStyleLbl="revTx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249BF23-1E51-49EF-83FC-53A6998752D6}" type="pres">
      <dgm:prSet presAssocID="{D1B6BD57-FF88-4668-8681-B3FEB0F4E342}" presName="bracket" presStyleLbl="parChTrans1D1" presStyleIdx="0" presStyleCnt="2"/>
      <dgm:spPr/>
    </dgm:pt>
    <dgm:pt modelId="{85383C86-AAE5-4263-85E7-8BE5D5E9C559}" type="pres">
      <dgm:prSet presAssocID="{D1B6BD57-FF88-4668-8681-B3FEB0F4E342}" presName="spH" presStyleCnt="0"/>
      <dgm:spPr/>
    </dgm:pt>
    <dgm:pt modelId="{887296A2-0B92-4D51-9F30-EC5F6872CCF6}" type="pres">
      <dgm:prSet presAssocID="{D1B6BD57-FF88-4668-8681-B3FEB0F4E342}" presName="desTx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86B71B-8C07-4F95-8BC8-3D1105C104A6}" type="pres">
      <dgm:prSet presAssocID="{24280EDA-FD4B-4C47-9959-0F44663331EB}" presName="spV" presStyleCnt="0"/>
      <dgm:spPr/>
    </dgm:pt>
    <dgm:pt modelId="{469A637F-A1F6-40CD-86BD-C584E3222B9A}" type="pres">
      <dgm:prSet presAssocID="{2CE1B53B-2DB7-4AA0-B915-D09867295B4C}" presName="linNode" presStyleCnt="0"/>
      <dgm:spPr/>
    </dgm:pt>
    <dgm:pt modelId="{C5427821-219D-4F77-9145-D7258EF0B26D}" type="pres">
      <dgm:prSet presAssocID="{2CE1B53B-2DB7-4AA0-B915-D09867295B4C}" presName="parTx" presStyleLbl="revTx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BF32D79-6E31-427B-9B30-0BF31AFF75D0}" type="pres">
      <dgm:prSet presAssocID="{2CE1B53B-2DB7-4AA0-B915-D09867295B4C}" presName="bracket" presStyleLbl="parChTrans1D1" presStyleIdx="1" presStyleCnt="2"/>
      <dgm:spPr/>
    </dgm:pt>
    <dgm:pt modelId="{A5535DB4-7AD9-4728-8077-3DC2BF9D320F}" type="pres">
      <dgm:prSet presAssocID="{2CE1B53B-2DB7-4AA0-B915-D09867295B4C}" presName="spH" presStyleCnt="0"/>
      <dgm:spPr/>
    </dgm:pt>
    <dgm:pt modelId="{6CC9D288-A96F-4EC1-9230-260434EC3336}" type="pres">
      <dgm:prSet presAssocID="{2CE1B53B-2DB7-4AA0-B915-D09867295B4C}" presName="desT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74B34633-6608-41BE-84F8-7B1992EEE48F}" type="presOf" srcId="{6F9F916C-87D8-43AD-8402-783F3A3B2037}" destId="{E5CD686E-6615-4F94-8E3C-8C926F99ACFB}" srcOrd="0" destOrd="0" presId="urn:diagrams.loki3.com/BracketList"/>
    <dgm:cxn modelId="{9E3DC987-1754-4132-8915-CD8ADD4D3426}" srcId="{2CE1B53B-2DB7-4AA0-B915-D09867295B4C}" destId="{C6A8B781-F155-431B-9470-3A2AE870E9E0}" srcOrd="2" destOrd="0" parTransId="{549FE4F6-80BC-4BF2-8028-66343779B417}" sibTransId="{C427E25F-2CE2-48E8-9898-B87321B92CE7}"/>
    <dgm:cxn modelId="{8570301E-A908-4791-BCE4-301E1519B79F}" srcId="{2CE1B53B-2DB7-4AA0-B915-D09867295B4C}" destId="{307CB849-90B0-4E6A-B722-52B4DA8D46E9}" srcOrd="0" destOrd="0" parTransId="{1E2AB474-A346-4A97-96EE-968DC1CB4EC4}" sibTransId="{BC5471A8-7817-419F-B08F-30278365F334}"/>
    <dgm:cxn modelId="{65C62767-EAAA-4EB5-9A02-FF0312822DB6}" type="presOf" srcId="{D1B6BD57-FF88-4668-8681-B3FEB0F4E342}" destId="{48B1EA65-7B4F-4F24-B485-BF7AB98D97E8}" srcOrd="0" destOrd="0" presId="urn:diagrams.loki3.com/BracketList"/>
    <dgm:cxn modelId="{4EC24DB8-9C5F-4F10-9D45-385AC01D9D5F}" type="presOf" srcId="{307CB849-90B0-4E6A-B722-52B4DA8D46E9}" destId="{6CC9D288-A96F-4EC1-9230-260434EC3336}" srcOrd="0" destOrd="0" presId="urn:diagrams.loki3.com/BracketList"/>
    <dgm:cxn modelId="{FB7DF678-883D-4EA3-AE94-2B4AD01FE65D}" type="presOf" srcId="{06232868-224E-4D66-9057-E60EA723B820}" destId="{887296A2-0B92-4D51-9F30-EC5F6872CCF6}" srcOrd="0" destOrd="2" presId="urn:diagrams.loki3.com/BracketList"/>
    <dgm:cxn modelId="{6513F7FA-6D72-45FC-B2D1-FB55640A41A5}" srcId="{2CE1B53B-2DB7-4AA0-B915-D09867295B4C}" destId="{5940706D-44D1-4083-9181-A5BFBC5CB6D3}" srcOrd="1" destOrd="0" parTransId="{C3FC0F46-720D-46A6-A4A8-1F1FDF3D1BF5}" sibTransId="{470C736F-809C-4F8D-847D-94CEF46F7FBD}"/>
    <dgm:cxn modelId="{1B25B690-BE28-4BCC-AD76-C4C68A98636E}" type="presOf" srcId="{E626A50F-D6EB-4B47-BD92-02AD1B521837}" destId="{887296A2-0B92-4D51-9F30-EC5F6872CCF6}" srcOrd="0" destOrd="0" presId="urn:diagrams.loki3.com/BracketList"/>
    <dgm:cxn modelId="{ABA2040B-AC7A-4EF5-8116-27132514A232}" type="presOf" srcId="{E80DF6B7-3B0E-4F0E-8510-B4828C7F3D5E}" destId="{887296A2-0B92-4D51-9F30-EC5F6872CCF6}" srcOrd="0" destOrd="1" presId="urn:diagrams.loki3.com/BracketList"/>
    <dgm:cxn modelId="{BF095E11-C768-4824-8441-63091C81A1B2}" type="presOf" srcId="{C6A8B781-F155-431B-9470-3A2AE870E9E0}" destId="{6CC9D288-A96F-4EC1-9230-260434EC3336}" srcOrd="0" destOrd="2" presId="urn:diagrams.loki3.com/BracketList"/>
    <dgm:cxn modelId="{7B59EBD7-7614-43A1-B926-FA0E020959AC}" type="presOf" srcId="{2CE1B53B-2DB7-4AA0-B915-D09867295B4C}" destId="{C5427821-219D-4F77-9145-D7258EF0B26D}" srcOrd="0" destOrd="0" presId="urn:diagrams.loki3.com/BracketList"/>
    <dgm:cxn modelId="{7FFC5FDF-0F56-4DD0-B5A4-F330CE862989}" srcId="{6F9F916C-87D8-43AD-8402-783F3A3B2037}" destId="{2CE1B53B-2DB7-4AA0-B915-D09867295B4C}" srcOrd="1" destOrd="0" parTransId="{FA37AC13-52A6-4837-9B83-E7F39C0D0F99}" sibTransId="{016AD685-F158-494C-9CD1-AF1D7E7AC50B}"/>
    <dgm:cxn modelId="{6DAF18F9-8FB0-4A87-A64D-E4E2CC323A12}" srcId="{D1B6BD57-FF88-4668-8681-B3FEB0F4E342}" destId="{E626A50F-D6EB-4B47-BD92-02AD1B521837}" srcOrd="0" destOrd="0" parTransId="{0CAC3604-FAA9-4BBA-B485-B3EFCB3CB80B}" sibTransId="{2A6A7BC4-56A4-4408-8EFC-CBCD0C0AE2FB}"/>
    <dgm:cxn modelId="{A4D80336-76BE-4F46-944B-FE65C926A5E3}" type="presOf" srcId="{5940706D-44D1-4083-9181-A5BFBC5CB6D3}" destId="{6CC9D288-A96F-4EC1-9230-260434EC3336}" srcOrd="0" destOrd="1" presId="urn:diagrams.loki3.com/BracketList"/>
    <dgm:cxn modelId="{5F1F13ED-1BB0-4F71-8582-B6EAF3068A1C}" srcId="{6F9F916C-87D8-43AD-8402-783F3A3B2037}" destId="{D1B6BD57-FF88-4668-8681-B3FEB0F4E342}" srcOrd="0" destOrd="0" parTransId="{0F6CFC79-95CF-40A3-A37B-F6D38392F625}" sibTransId="{24280EDA-FD4B-4C47-9959-0F44663331EB}"/>
    <dgm:cxn modelId="{446552FE-261D-4BB7-9280-99FF3B5A8B71}" srcId="{D1B6BD57-FF88-4668-8681-B3FEB0F4E342}" destId="{06232868-224E-4D66-9057-E60EA723B820}" srcOrd="2" destOrd="0" parTransId="{6685D22B-3383-4508-A78F-1501F31B32B1}" sibTransId="{7F4684BE-CD88-40FC-B5F0-2D517B83A40C}"/>
    <dgm:cxn modelId="{E9ACCFCF-5419-4581-B7FB-9F0EB940482F}" srcId="{D1B6BD57-FF88-4668-8681-B3FEB0F4E342}" destId="{E80DF6B7-3B0E-4F0E-8510-B4828C7F3D5E}" srcOrd="1" destOrd="0" parTransId="{AE625F56-FA70-4AC3-992A-FB3324743BE2}" sibTransId="{A016911E-E93D-4AC9-8428-BE0413267AE2}"/>
    <dgm:cxn modelId="{A83BED48-9F89-405D-BC8B-D037B2B485BA}" type="presParOf" srcId="{E5CD686E-6615-4F94-8E3C-8C926F99ACFB}" destId="{8C6D0258-84A0-4E20-A549-ADCFD9619B55}" srcOrd="0" destOrd="0" presId="urn:diagrams.loki3.com/BracketList"/>
    <dgm:cxn modelId="{927313DC-1D98-4B84-896E-DA679A886053}" type="presParOf" srcId="{8C6D0258-84A0-4E20-A549-ADCFD9619B55}" destId="{48B1EA65-7B4F-4F24-B485-BF7AB98D97E8}" srcOrd="0" destOrd="0" presId="urn:diagrams.loki3.com/BracketList"/>
    <dgm:cxn modelId="{E7D11917-05FC-4B8C-82E6-29897FB4AAD0}" type="presParOf" srcId="{8C6D0258-84A0-4E20-A549-ADCFD9619B55}" destId="{5249BF23-1E51-49EF-83FC-53A6998752D6}" srcOrd="1" destOrd="0" presId="urn:diagrams.loki3.com/BracketList"/>
    <dgm:cxn modelId="{F6A44BDF-1673-4F45-9897-87CBAD8BCC20}" type="presParOf" srcId="{8C6D0258-84A0-4E20-A549-ADCFD9619B55}" destId="{85383C86-AAE5-4263-85E7-8BE5D5E9C559}" srcOrd="2" destOrd="0" presId="urn:diagrams.loki3.com/BracketList"/>
    <dgm:cxn modelId="{63AC878F-E424-4F1E-8C46-9CBA2DEF77AC}" type="presParOf" srcId="{8C6D0258-84A0-4E20-A549-ADCFD9619B55}" destId="{887296A2-0B92-4D51-9F30-EC5F6872CCF6}" srcOrd="3" destOrd="0" presId="urn:diagrams.loki3.com/BracketList"/>
    <dgm:cxn modelId="{4054462E-D124-4E68-A238-EB0451E76A41}" type="presParOf" srcId="{E5CD686E-6615-4F94-8E3C-8C926F99ACFB}" destId="{DE86B71B-8C07-4F95-8BC8-3D1105C104A6}" srcOrd="1" destOrd="0" presId="urn:diagrams.loki3.com/BracketList"/>
    <dgm:cxn modelId="{86AF0ABE-563A-4857-B793-F91693B99DF7}" type="presParOf" srcId="{E5CD686E-6615-4F94-8E3C-8C926F99ACFB}" destId="{469A637F-A1F6-40CD-86BD-C584E3222B9A}" srcOrd="2" destOrd="0" presId="urn:diagrams.loki3.com/BracketList"/>
    <dgm:cxn modelId="{02EFD359-5807-45F4-B3A1-07A814941450}" type="presParOf" srcId="{469A637F-A1F6-40CD-86BD-C584E3222B9A}" destId="{C5427821-219D-4F77-9145-D7258EF0B26D}" srcOrd="0" destOrd="0" presId="urn:diagrams.loki3.com/BracketList"/>
    <dgm:cxn modelId="{C8875939-03E9-4C0C-9E28-95D40206A75C}" type="presParOf" srcId="{469A637F-A1F6-40CD-86BD-C584E3222B9A}" destId="{FBF32D79-6E31-427B-9B30-0BF31AFF75D0}" srcOrd="1" destOrd="0" presId="urn:diagrams.loki3.com/BracketList"/>
    <dgm:cxn modelId="{C152FC74-75C5-41B9-96EB-9F816B0C7843}" type="presParOf" srcId="{469A637F-A1F6-40CD-86BD-C584E3222B9A}" destId="{A5535DB4-7AD9-4728-8077-3DC2BF9D320F}" srcOrd="2" destOrd="0" presId="urn:diagrams.loki3.com/BracketList"/>
    <dgm:cxn modelId="{91A639F4-F914-4F0E-BFBF-3CA3C30F787F}" type="presParOf" srcId="{469A637F-A1F6-40CD-86BD-C584E3222B9A}" destId="{6CC9D288-A96F-4EC1-9230-260434EC333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EA65-7B4F-4F24-B485-BF7AB98D97E8}">
      <dsp:nvSpPr>
        <dsp:cNvPr id="0" name=""/>
        <dsp:cNvSpPr/>
      </dsp:nvSpPr>
      <dsp:spPr>
        <a:xfrm>
          <a:off x="0" y="223090"/>
          <a:ext cx="1809457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Si OUI</a:t>
          </a:r>
        </a:p>
      </dsp:txBody>
      <dsp:txXfrm>
        <a:off x="0" y="223090"/>
        <a:ext cx="1809457" cy="514800"/>
      </dsp:txXfrm>
    </dsp:sp>
    <dsp:sp modelId="{5249BF23-1E51-49EF-83FC-53A6998752D6}">
      <dsp:nvSpPr>
        <dsp:cNvPr id="0" name=""/>
        <dsp:cNvSpPr/>
      </dsp:nvSpPr>
      <dsp:spPr>
        <a:xfrm>
          <a:off x="1809456" y="5908"/>
          <a:ext cx="361891" cy="94916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296A2-0B92-4D51-9F30-EC5F6872CCF6}">
      <dsp:nvSpPr>
        <dsp:cNvPr id="0" name=""/>
        <dsp:cNvSpPr/>
      </dsp:nvSpPr>
      <dsp:spPr>
        <a:xfrm>
          <a:off x="2316104" y="5908"/>
          <a:ext cx="4921723" cy="949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Envisager d'ajouter l'action ou l'activité dans le Plan d'Action (Pd'A) de l'Urgence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Penser également aux capacités et à l'expertise de la CR/CR et aux demandes ou décisions des gouvernements/des clusters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Se coordonner avec les autres agences et les autres secteurs </a:t>
          </a:r>
        </a:p>
      </dsp:txBody>
      <dsp:txXfrm>
        <a:off x="2316104" y="5908"/>
        <a:ext cx="4921723" cy="949162"/>
      </dsp:txXfrm>
    </dsp:sp>
    <dsp:sp modelId="{C5427821-219D-4F77-9145-D7258EF0B26D}">
      <dsp:nvSpPr>
        <dsp:cNvPr id="0" name=""/>
        <dsp:cNvSpPr/>
      </dsp:nvSpPr>
      <dsp:spPr>
        <a:xfrm>
          <a:off x="0" y="1185415"/>
          <a:ext cx="1809457" cy="514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200" kern="1200"/>
            <a:t>Si NON </a:t>
          </a:r>
        </a:p>
      </dsp:txBody>
      <dsp:txXfrm>
        <a:off x="0" y="1185415"/>
        <a:ext cx="1809457" cy="514800"/>
      </dsp:txXfrm>
    </dsp:sp>
    <dsp:sp modelId="{FBF32D79-6E31-427B-9B30-0BF31AFF75D0}">
      <dsp:nvSpPr>
        <dsp:cNvPr id="0" name=""/>
        <dsp:cNvSpPr/>
      </dsp:nvSpPr>
      <dsp:spPr>
        <a:xfrm>
          <a:off x="1809456" y="1048671"/>
          <a:ext cx="361891" cy="78828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D288-A96F-4EC1-9230-260434EC3336}">
      <dsp:nvSpPr>
        <dsp:cNvPr id="0" name=""/>
        <dsp:cNvSpPr/>
      </dsp:nvSpPr>
      <dsp:spPr>
        <a:xfrm>
          <a:off x="2316104" y="1048671"/>
          <a:ext cx="4921723" cy="788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Plaider auprès des partenaires et des autres parties prenantes pour que le problème soit résolu. </a:t>
          </a:r>
          <a:r>
            <a:rPr lang="en-NZ" sz="12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Poursuivre le suivi de la situation pour d'éventuels changements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200" kern="1200"/>
            <a:t>Se coordonner avec les autres agences et secteurs </a:t>
          </a:r>
        </a:p>
      </dsp:txBody>
      <dsp:txXfrm>
        <a:off x="2316104" y="1048671"/>
        <a:ext cx="4921723" cy="788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84D2E-699C-4E11-9C81-3384C9E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37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8</cp:revision>
  <dcterms:created xsi:type="dcterms:W3CDTF">2019-06-25T14:53:00Z</dcterms:created>
  <dcterms:modified xsi:type="dcterms:W3CDTF">2019-07-17T14:05:00Z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