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04815B72" w:rsidR="00681EA5" w:rsidRDefault="00B36F76" w:rsidP="00495F92">
      <w:pPr>
        <w:pStyle w:val="Style1"/>
        <w:rPr>
          <w:lang w:val="en-GB"/>
        </w:rPr>
      </w:pPr>
      <w:r>
        <w:rPr>
          <w:lang w:val="en-GB"/>
        </w:rPr>
        <w:t xml:space="preserve">TOOL 3 </w:t>
      </w:r>
    </w:p>
    <w:p w14:paraId="6807DDDF" w14:textId="6EE6677C" w:rsidR="00262EA6" w:rsidRDefault="00262EA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>CHECKLIST: MINIMUM</w:t>
      </w:r>
      <w:r w:rsidR="00B36F76">
        <w:rPr>
          <w:color w:val="auto"/>
          <w:sz w:val="44"/>
          <w:lang w:val="en-GB"/>
        </w:rPr>
        <w:t xml:space="preserve"> STANDARDS FOR </w:t>
      </w:r>
      <w:r w:rsidR="00E9557F">
        <w:rPr>
          <w:color w:val="auto"/>
          <w:sz w:val="44"/>
          <w:lang w:val="en-GB"/>
        </w:rPr>
        <w:t>INCLUSIVE</w:t>
      </w:r>
      <w:r w:rsidR="006A258D">
        <w:rPr>
          <w:color w:val="auto"/>
          <w:sz w:val="44"/>
          <w:lang w:val="en-GB"/>
        </w:rPr>
        <w:t xml:space="preserve">, </w:t>
      </w:r>
      <w:r w:rsidR="007309A1">
        <w:rPr>
          <w:color w:val="auto"/>
          <w:sz w:val="44"/>
          <w:lang w:val="en-GB"/>
        </w:rPr>
        <w:t xml:space="preserve">MHM-FRIENDLY </w:t>
      </w:r>
      <w:r w:rsidR="00B36F76">
        <w:rPr>
          <w:color w:val="auto"/>
          <w:sz w:val="44"/>
          <w:lang w:val="en-GB"/>
        </w:rPr>
        <w:t xml:space="preserve">BATHING AREAS </w:t>
      </w:r>
      <w:r>
        <w:rPr>
          <w:color w:val="auto"/>
          <w:sz w:val="44"/>
          <w:lang w:val="en-GB"/>
        </w:rPr>
        <w:t xml:space="preserve"> </w:t>
      </w:r>
    </w:p>
    <w:p w14:paraId="4501A770" w14:textId="29D4A67D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706A21">
        <w:rPr>
          <w:rFonts w:cs="Arial"/>
          <w:color w:val="595959"/>
          <w:sz w:val="20"/>
          <w:lang w:val="en-GB"/>
        </w:rPr>
        <w:t xml:space="preserve">Pilot version </w:t>
      </w:r>
      <w:r w:rsidR="003C1FA2">
        <w:rPr>
          <w:rFonts w:cs="Arial"/>
          <w:color w:val="595959"/>
          <w:sz w:val="20"/>
          <w:lang w:val="en-GB"/>
        </w:rPr>
        <w:t xml:space="preserve">– July 2019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3D3B4778" w14:textId="768B816D" w:rsidR="003F3E5F" w:rsidRDefault="003F3E5F" w:rsidP="003F3E5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bookmarkStart w:id="0" w:name="_Hlk13056727"/>
      <w:r w:rsidRPr="00002D6C">
        <w:rPr>
          <w:rFonts w:cs="Arial"/>
          <w:szCs w:val="22"/>
          <w:lang w:val="en-GB"/>
        </w:rPr>
        <w:t xml:space="preserve">Use </w:t>
      </w:r>
      <w:r>
        <w:rPr>
          <w:rFonts w:cs="Arial"/>
          <w:szCs w:val="22"/>
          <w:lang w:val="en-GB"/>
        </w:rPr>
        <w:t>this</w:t>
      </w:r>
      <w:r w:rsidRPr="00002D6C">
        <w:rPr>
          <w:rFonts w:cs="Arial"/>
          <w:szCs w:val="22"/>
          <w:lang w:val="en-GB"/>
        </w:rPr>
        <w:t xml:space="preserve"> checklist to assess whether communal </w:t>
      </w:r>
      <w:r>
        <w:rPr>
          <w:rFonts w:cs="Arial"/>
          <w:szCs w:val="22"/>
          <w:lang w:val="en-GB"/>
        </w:rPr>
        <w:t>b</w:t>
      </w:r>
      <w:r w:rsidR="00AC6CC6">
        <w:rPr>
          <w:rFonts w:cs="Arial"/>
          <w:szCs w:val="22"/>
          <w:lang w:val="en-GB"/>
        </w:rPr>
        <w:t xml:space="preserve">athing </w:t>
      </w:r>
      <w:r>
        <w:rPr>
          <w:rFonts w:cs="Arial"/>
          <w:szCs w:val="22"/>
          <w:lang w:val="en-GB"/>
        </w:rPr>
        <w:t xml:space="preserve">areas </w:t>
      </w:r>
      <w:r>
        <w:rPr>
          <w:rFonts w:cs="Arial"/>
          <w:szCs w:val="22"/>
          <w:lang w:val="en-GB"/>
        </w:rPr>
        <w:t>meet minimum requirements for being inclusive and MHM-friendly – including being accessible for persons with disabilities</w:t>
      </w:r>
      <w:r w:rsidRPr="00002D6C">
        <w:rPr>
          <w:rFonts w:cs="Arial"/>
          <w:szCs w:val="22"/>
          <w:lang w:val="en-GB"/>
        </w:rPr>
        <w:t xml:space="preserve">. </w:t>
      </w:r>
      <w:r w:rsidR="007B2A19">
        <w:rPr>
          <w:rFonts w:cs="Arial"/>
          <w:szCs w:val="22"/>
          <w:lang w:val="en-GB"/>
        </w:rPr>
        <w:t>B</w:t>
      </w:r>
      <w:r w:rsidR="00AC6CC6">
        <w:rPr>
          <w:rFonts w:cs="Arial"/>
          <w:szCs w:val="22"/>
          <w:lang w:val="en-GB"/>
        </w:rPr>
        <w:t xml:space="preserve">athing areas may also be used for laundering and drying menstrual </w:t>
      </w:r>
      <w:r w:rsidR="00C9069B">
        <w:rPr>
          <w:rFonts w:cs="Arial"/>
          <w:szCs w:val="22"/>
          <w:lang w:val="en-GB"/>
        </w:rPr>
        <w:t xml:space="preserve">materials, depending on the context. </w:t>
      </w:r>
      <w:r w:rsidR="00AC6CC6">
        <w:rPr>
          <w:rFonts w:cs="Arial"/>
          <w:szCs w:val="22"/>
          <w:lang w:val="en-GB"/>
        </w:rPr>
        <w:t xml:space="preserve"> </w:t>
      </w:r>
    </w:p>
    <w:p w14:paraId="26319B7D" w14:textId="22075687" w:rsidR="003F3E5F" w:rsidRDefault="003F3E5F" w:rsidP="003F3E5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Inclusive means that </w:t>
      </w:r>
      <w:r w:rsidR="007B2A19">
        <w:rPr>
          <w:rFonts w:cs="Arial"/>
          <w:szCs w:val="22"/>
          <w:lang w:val="en-GB"/>
        </w:rPr>
        <w:t xml:space="preserve">bathing areas </w:t>
      </w:r>
      <w:r>
        <w:rPr>
          <w:rFonts w:cs="Arial"/>
          <w:szCs w:val="22"/>
          <w:lang w:val="en-GB"/>
        </w:rPr>
        <w:t xml:space="preserve">are designed to ensure the dignity, access, participation and safety of all persons in the community using the facilities. Accessible means that people with disabilities, older people and pregnant women </w:t>
      </w:r>
      <w:r w:rsidRPr="00800044">
        <w:rPr>
          <w:rFonts w:cs="Arial"/>
          <w:szCs w:val="22"/>
          <w:lang w:val="en-GB"/>
        </w:rPr>
        <w:t>have access to the physical and built environment, information and communications</w:t>
      </w:r>
      <w:r>
        <w:rPr>
          <w:rFonts w:cs="Arial"/>
          <w:szCs w:val="22"/>
          <w:lang w:val="en-GB"/>
        </w:rPr>
        <w:t>, and to related</w:t>
      </w:r>
      <w:r w:rsidRPr="00800044">
        <w:rPr>
          <w:rFonts w:cs="Arial"/>
          <w:szCs w:val="22"/>
          <w:lang w:val="en-GB"/>
        </w:rPr>
        <w:t xml:space="preserve"> facilities and services</w:t>
      </w:r>
      <w:r>
        <w:rPr>
          <w:rFonts w:cs="Arial"/>
          <w:szCs w:val="22"/>
          <w:lang w:val="en-GB"/>
        </w:rPr>
        <w:t xml:space="preserve">. </w:t>
      </w:r>
    </w:p>
    <w:p w14:paraId="5826DC88" w14:textId="016C127F" w:rsidR="003F3E5F" w:rsidRDefault="003F3E5F" w:rsidP="003F3E5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MHM-friendly means that the </w:t>
      </w:r>
      <w:r w:rsidR="007B2A19">
        <w:rPr>
          <w:rFonts w:cs="Arial"/>
          <w:szCs w:val="22"/>
          <w:lang w:val="en-GB"/>
        </w:rPr>
        <w:t xml:space="preserve">bathing </w:t>
      </w:r>
      <w:r w:rsidR="007B2A19">
        <w:rPr>
          <w:rFonts w:cs="Arial"/>
          <w:szCs w:val="22"/>
          <w:lang w:val="en-GB"/>
        </w:rPr>
        <w:t xml:space="preserve">area </w:t>
      </w:r>
      <w:r w:rsidRPr="00002D6C">
        <w:rPr>
          <w:rFonts w:cs="Arial"/>
          <w:szCs w:val="22"/>
          <w:lang w:val="en-GB"/>
        </w:rPr>
        <w:t>meet</w:t>
      </w:r>
      <w:r>
        <w:rPr>
          <w:rFonts w:cs="Arial"/>
          <w:szCs w:val="22"/>
          <w:lang w:val="en-GB"/>
        </w:rPr>
        <w:t>s</w:t>
      </w:r>
      <w:r w:rsidRPr="00002D6C">
        <w:rPr>
          <w:rFonts w:cs="Arial"/>
          <w:szCs w:val="22"/>
          <w:lang w:val="en-GB"/>
        </w:rPr>
        <w:t xml:space="preserve"> the minimum requirements that ensure women and girls can privately, safely and hygienically manage their monthly menstruation. </w:t>
      </w:r>
    </w:p>
    <w:p w14:paraId="65E72A3E" w14:textId="022F5717" w:rsidR="003F3E5F" w:rsidRDefault="003F3E5F" w:rsidP="003F3E5F">
      <w:pPr>
        <w:autoSpaceDE w:val="0"/>
        <w:autoSpaceDN w:val="0"/>
        <w:adjustRightInd w:val="0"/>
        <w:rPr>
          <w:rFonts w:cs="Arial"/>
          <w:szCs w:val="22"/>
          <w:rtl/>
          <w:lang w:val="en-GB" w:bidi="ar-SY"/>
        </w:rPr>
      </w:pPr>
      <w:r>
        <w:rPr>
          <w:rFonts w:cs="Arial"/>
          <w:szCs w:val="22"/>
          <w:lang w:val="en-GB"/>
        </w:rPr>
        <w:t xml:space="preserve">These checklists can also be used as a monitoring tool to track progress towards </w:t>
      </w:r>
      <w:r w:rsidR="007B2A19">
        <w:rPr>
          <w:rFonts w:cs="Arial"/>
          <w:szCs w:val="22"/>
          <w:lang w:val="en-GB"/>
        </w:rPr>
        <w:t xml:space="preserve">bathing areas </w:t>
      </w:r>
      <w:r>
        <w:rPr>
          <w:rFonts w:cs="Arial"/>
          <w:szCs w:val="22"/>
          <w:lang w:val="en-GB"/>
        </w:rPr>
        <w:t xml:space="preserve">becoming inclusive and accessible, and measuring improvements during an operation or program. </w:t>
      </w:r>
    </w:p>
    <w:p w14:paraId="704C6862" w14:textId="7DC2E31D" w:rsidR="003F3E5F" w:rsidRDefault="003F3E5F" w:rsidP="003F3E5F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There are two parts to each checklist – 1) direct observation; and 2) discussion and direct feedback from women and girls, </w:t>
      </w:r>
      <w:r w:rsidR="005B5373">
        <w:rPr>
          <w:rFonts w:cs="Arial"/>
          <w:szCs w:val="22"/>
          <w:lang w:val="en-GB"/>
        </w:rPr>
        <w:t xml:space="preserve">and </w:t>
      </w:r>
      <w:r>
        <w:rPr>
          <w:rFonts w:cs="Arial"/>
          <w:szCs w:val="22"/>
          <w:lang w:val="en-GB"/>
        </w:rPr>
        <w:t>persons with disabilities</w:t>
      </w:r>
      <w:r>
        <w:rPr>
          <w:rStyle w:val="FootnoteReference"/>
          <w:rFonts w:cs="Arial"/>
          <w:szCs w:val="22"/>
          <w:lang w:val="en-GB"/>
        </w:rPr>
        <w:footnoteReference w:id="2"/>
      </w:r>
      <w:r>
        <w:rPr>
          <w:rFonts w:cs="Arial"/>
          <w:szCs w:val="22"/>
          <w:lang w:val="en-GB"/>
        </w:rPr>
        <w:t xml:space="preserve">. </w:t>
      </w:r>
    </w:p>
    <w:bookmarkEnd w:id="0"/>
    <w:p w14:paraId="1BFF1349" w14:textId="77777777" w:rsidR="003F3E5F" w:rsidRDefault="003F3E5F" w:rsidP="009F5DAE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5E3DDAD" w14:textId="567F32CA" w:rsidR="00D65928" w:rsidRDefault="00D65928">
      <w:pPr>
        <w:spacing w:before="0"/>
        <w:rPr>
          <w:color w:val="C00000"/>
          <w:sz w:val="28"/>
          <w:lang w:val="en-NZ"/>
        </w:rPr>
      </w:pPr>
    </w:p>
    <w:p w14:paraId="72FBD150" w14:textId="3A8D9733" w:rsidR="00694E42" w:rsidRDefault="00694E42" w:rsidP="00694E42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CHECKLIST: </w:t>
      </w:r>
      <w:r w:rsidR="00B36F76">
        <w:rPr>
          <w:color w:val="C00000"/>
          <w:sz w:val="28"/>
          <w:lang w:val="en-NZ"/>
        </w:rPr>
        <w:t>BATHING AREAS</w:t>
      </w:r>
      <w:r w:rsidR="003B10EE">
        <w:rPr>
          <w:rStyle w:val="FootnoteReference"/>
          <w:color w:val="C00000"/>
          <w:sz w:val="28"/>
          <w:lang w:val="en-NZ"/>
        </w:rPr>
        <w:footnoteReference w:id="3"/>
      </w:r>
      <w:r w:rsidR="00B36F76">
        <w:rPr>
          <w:color w:val="C00000"/>
          <w:sz w:val="28"/>
          <w:lang w:val="en-NZ"/>
        </w:rPr>
        <w:t xml:space="preserve"> </w:t>
      </w:r>
      <w:r w:rsidR="003F3E5F">
        <w:rPr>
          <w:color w:val="C00000"/>
          <w:sz w:val="28"/>
          <w:lang w:val="en-NZ"/>
        </w:rPr>
        <w:t xml:space="preserve">(communal)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16"/>
        <w:gridCol w:w="4536"/>
        <w:gridCol w:w="993"/>
        <w:gridCol w:w="116"/>
        <w:gridCol w:w="3556"/>
      </w:tblGrid>
      <w:tr w:rsidR="00324921" w14:paraId="5F0AC2F0" w14:textId="77777777" w:rsidTr="009B2625">
        <w:tc>
          <w:tcPr>
            <w:tcW w:w="9763" w:type="dxa"/>
            <w:gridSpan w:val="6"/>
            <w:shd w:val="clear" w:color="auto" w:fill="D6E3BC" w:themeFill="accent3" w:themeFillTint="66"/>
          </w:tcPr>
          <w:p w14:paraId="3F774E7C" w14:textId="21027F2D" w:rsidR="00324921" w:rsidRPr="00947EC5" w:rsidRDefault="00324921" w:rsidP="009B2625">
            <w:pPr>
              <w:rPr>
                <w:b/>
                <w:lang w:val="en-NZ"/>
              </w:rPr>
            </w:pPr>
            <w:r w:rsidRPr="00947EC5">
              <w:rPr>
                <w:b/>
                <w:lang w:val="en-NZ"/>
              </w:rPr>
              <w:t>F</w:t>
            </w:r>
            <w:r w:rsidR="007E630C">
              <w:rPr>
                <w:b/>
                <w:lang w:val="en-NZ"/>
              </w:rPr>
              <w:t>OR</w:t>
            </w:r>
            <w:r w:rsidRPr="00947EC5">
              <w:rPr>
                <w:b/>
                <w:lang w:val="en-NZ"/>
              </w:rPr>
              <w:t xml:space="preserve"> DIRECT OBSERVATION: </w:t>
            </w:r>
          </w:p>
        </w:tc>
      </w:tr>
      <w:tr w:rsidR="00324921" w14:paraId="36E0816E" w14:textId="77777777" w:rsidTr="00F901AB">
        <w:tc>
          <w:tcPr>
            <w:tcW w:w="5098" w:type="dxa"/>
            <w:gridSpan w:val="3"/>
            <w:vAlign w:val="center"/>
          </w:tcPr>
          <w:p w14:paraId="3AE54D80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1109" w:type="dxa"/>
            <w:gridSpan w:val="2"/>
            <w:vAlign w:val="center"/>
          </w:tcPr>
          <w:p w14:paraId="09DAF8F3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556" w:type="dxa"/>
            <w:vAlign w:val="center"/>
          </w:tcPr>
          <w:p w14:paraId="308D46C3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</w:t>
            </w:r>
            <w:r>
              <w:rPr>
                <w:b/>
                <w:lang w:val="en-NZ"/>
              </w:rPr>
              <w:t xml:space="preserve">or change </w:t>
            </w:r>
            <w:r w:rsidRPr="001E36C0">
              <w:rPr>
                <w:b/>
                <w:lang w:val="en-NZ"/>
              </w:rPr>
              <w:t xml:space="preserve">needed to meet standard </w:t>
            </w:r>
          </w:p>
        </w:tc>
      </w:tr>
      <w:tr w:rsidR="00324921" w14:paraId="01F57B29" w14:textId="77777777" w:rsidTr="00F901AB">
        <w:tc>
          <w:tcPr>
            <w:tcW w:w="546" w:type="dxa"/>
          </w:tcPr>
          <w:p w14:paraId="5DD2239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1AC2E65" w14:textId="4D90B2D5" w:rsidR="00324921" w:rsidRDefault="002B39C7" w:rsidP="006A3D5E">
            <w:pPr>
              <w:rPr>
                <w:lang w:val="en-NZ"/>
              </w:rPr>
            </w:pPr>
            <w:r>
              <w:rPr>
                <w:lang w:val="en-NZ"/>
              </w:rPr>
              <w:t xml:space="preserve">Male and female </w:t>
            </w:r>
            <w:r w:rsidR="008D3147">
              <w:rPr>
                <w:lang w:val="en-NZ"/>
              </w:rPr>
              <w:t xml:space="preserve">bathing areas </w:t>
            </w:r>
            <w:r>
              <w:rPr>
                <w:lang w:val="en-NZ"/>
              </w:rPr>
              <w:t xml:space="preserve">are </w:t>
            </w:r>
            <w:r w:rsidR="006A3D5E">
              <w:rPr>
                <w:lang w:val="en-NZ"/>
              </w:rPr>
              <w:t>physically separated and have clear signs (for female/male)</w:t>
            </w:r>
            <w:r w:rsidR="006A3D5E">
              <w:rPr>
                <w:lang w:val="en-NZ"/>
              </w:rPr>
              <w:t xml:space="preserve">. </w:t>
            </w:r>
          </w:p>
        </w:tc>
        <w:tc>
          <w:tcPr>
            <w:tcW w:w="1109" w:type="dxa"/>
            <w:gridSpan w:val="2"/>
          </w:tcPr>
          <w:p w14:paraId="257CD107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06BC871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FB2B4" w14:textId="77777777" w:rsidTr="00F901AB">
        <w:tc>
          <w:tcPr>
            <w:tcW w:w="546" w:type="dxa"/>
          </w:tcPr>
          <w:p w14:paraId="41827AC8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5AD2EEA" w14:textId="2C829606" w:rsidR="00324921" w:rsidRDefault="00F35B84" w:rsidP="0057468B">
            <w:pPr>
              <w:rPr>
                <w:lang w:val="en-NZ"/>
              </w:rPr>
            </w:pPr>
            <w:r>
              <w:rPr>
                <w:lang w:val="en-NZ"/>
              </w:rPr>
              <w:t>B</w:t>
            </w:r>
            <w:r w:rsidR="0057468B">
              <w:rPr>
                <w:lang w:val="en-NZ"/>
              </w:rPr>
              <w:t xml:space="preserve">athing area has </w:t>
            </w:r>
            <w:r w:rsidR="00324921">
              <w:rPr>
                <w:lang w:val="en-NZ"/>
              </w:rPr>
              <w:t>sufficiently high walls (</w:t>
            </w:r>
            <w:r w:rsidR="006A3D5E">
              <w:rPr>
                <w:lang w:val="en-NZ"/>
              </w:rPr>
              <w:t>and/</w:t>
            </w:r>
            <w:r w:rsidR="001C6C9C">
              <w:rPr>
                <w:lang w:val="en-NZ"/>
              </w:rPr>
              <w:t xml:space="preserve">or screens) with no gaps, </w:t>
            </w:r>
            <w:r w:rsidR="00324921">
              <w:rPr>
                <w:lang w:val="en-NZ"/>
              </w:rPr>
              <w:t>holes</w:t>
            </w:r>
            <w:r w:rsidR="001C6C9C">
              <w:t xml:space="preserve"> or windows that allow others to see in</w:t>
            </w:r>
            <w:r w:rsidR="00324921">
              <w:rPr>
                <w:lang w:val="en-NZ"/>
              </w:rPr>
              <w:t xml:space="preserve">. </w:t>
            </w:r>
          </w:p>
        </w:tc>
        <w:tc>
          <w:tcPr>
            <w:tcW w:w="1109" w:type="dxa"/>
            <w:gridSpan w:val="2"/>
          </w:tcPr>
          <w:p w14:paraId="1FED92D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FEC881C" w14:textId="77777777" w:rsidTr="00F901AB">
        <w:tc>
          <w:tcPr>
            <w:tcW w:w="546" w:type="dxa"/>
          </w:tcPr>
          <w:p w14:paraId="71975211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5345C99" w14:textId="0BF91847" w:rsidR="0091707A" w:rsidRDefault="00F35B84" w:rsidP="0091707A">
            <w:pPr>
              <w:rPr>
                <w:lang w:val="en-NZ"/>
              </w:rPr>
            </w:pPr>
            <w:r>
              <w:rPr>
                <w:lang w:val="en-NZ"/>
              </w:rPr>
              <w:t>Bath</w:t>
            </w:r>
            <w:r w:rsidR="0057468B">
              <w:rPr>
                <w:lang w:val="en-NZ"/>
              </w:rPr>
              <w:t xml:space="preserve">ing area </w:t>
            </w:r>
            <w:r w:rsidR="0091707A">
              <w:rPr>
                <w:lang w:val="en-NZ"/>
              </w:rPr>
              <w:t>has a door with a handle and an internal lock/latch.</w:t>
            </w:r>
            <w:r w:rsidR="0091707A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54D12E53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283D71" w14:paraId="56833CC0" w14:textId="77777777" w:rsidTr="00F901AB">
        <w:tc>
          <w:tcPr>
            <w:tcW w:w="546" w:type="dxa"/>
          </w:tcPr>
          <w:p w14:paraId="591AA9E1" w14:textId="77777777" w:rsidR="00283D71" w:rsidRPr="005133DC" w:rsidRDefault="00283D7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EF40868" w14:textId="6786E6A2" w:rsidR="00283D71" w:rsidRDefault="00283D71" w:rsidP="001835C8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</w:t>
            </w:r>
            <w:r>
              <w:rPr>
                <w:lang w:val="en-NZ"/>
              </w:rPr>
              <w:t xml:space="preserve">hook and/or shelf inside the </w:t>
            </w:r>
            <w:r w:rsidR="001835C8">
              <w:rPr>
                <w:lang w:val="en-NZ"/>
              </w:rPr>
              <w:t xml:space="preserve">bathing area, </w:t>
            </w:r>
            <w:r w:rsidR="007E630C">
              <w:rPr>
                <w:lang w:val="en-NZ"/>
              </w:rPr>
              <w:t>at a height accessible for girls and persons using a wheelchair</w:t>
            </w:r>
            <w:r w:rsidR="001835C8">
              <w:rPr>
                <w:lang w:val="en-NZ"/>
              </w:rPr>
              <w:t xml:space="preserve">. </w:t>
            </w:r>
          </w:p>
        </w:tc>
        <w:tc>
          <w:tcPr>
            <w:tcW w:w="1109" w:type="dxa"/>
            <w:gridSpan w:val="2"/>
          </w:tcPr>
          <w:p w14:paraId="22F37EA9" w14:textId="77777777" w:rsidR="00283D71" w:rsidRDefault="00283D7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24EDD0D" w14:textId="77777777" w:rsidR="00283D71" w:rsidRDefault="00283D71" w:rsidP="009B2625">
            <w:pPr>
              <w:rPr>
                <w:lang w:val="en-NZ"/>
              </w:rPr>
            </w:pPr>
          </w:p>
        </w:tc>
      </w:tr>
      <w:tr w:rsidR="00324921" w14:paraId="78962D0E" w14:textId="77777777" w:rsidTr="00F901AB">
        <w:tc>
          <w:tcPr>
            <w:tcW w:w="546" w:type="dxa"/>
          </w:tcPr>
          <w:p w14:paraId="002E4F00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B9968A7" w14:textId="6104C693" w:rsidR="00324921" w:rsidRDefault="0057468B" w:rsidP="009D01CF">
            <w:pPr>
              <w:rPr>
                <w:lang w:val="en-NZ"/>
              </w:rPr>
            </w:pPr>
            <w:r>
              <w:rPr>
                <w:lang w:val="en-NZ"/>
              </w:rPr>
              <w:t>Water is available close to</w:t>
            </w:r>
            <w:r w:rsidR="009D01CF">
              <w:rPr>
                <w:lang w:val="en-NZ"/>
              </w:rPr>
              <w:t xml:space="preserve"> </w:t>
            </w:r>
            <w:r>
              <w:rPr>
                <w:lang w:val="en-NZ"/>
              </w:rPr>
              <w:t xml:space="preserve">or at the bathing area. </w:t>
            </w:r>
            <w:r w:rsidR="002B39C7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1750843F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89898BF" w14:textId="77777777" w:rsidTr="00F901AB">
        <w:tc>
          <w:tcPr>
            <w:tcW w:w="546" w:type="dxa"/>
          </w:tcPr>
          <w:p w14:paraId="15358EBB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2B14C7D" w14:textId="3298F88D" w:rsidR="00324921" w:rsidRPr="008425AC" w:rsidRDefault="0091707A" w:rsidP="0091707A">
            <w:pPr>
              <w:rPr>
                <w:lang w:val="en-NZ"/>
              </w:rPr>
            </w:pPr>
            <w:r w:rsidRPr="008425AC">
              <w:rPr>
                <w:lang w:val="en-NZ"/>
              </w:rPr>
              <w:t xml:space="preserve">There are drying racks or hangers (or similar) for drying menstrual materials (e.g. </w:t>
            </w:r>
            <w:r w:rsidR="001835C8" w:rsidRPr="008425AC">
              <w:rPr>
                <w:lang w:val="en-NZ"/>
              </w:rPr>
              <w:t>cloth or reusable pads). [</w:t>
            </w:r>
            <w:r w:rsidR="001835C8" w:rsidRPr="008425AC">
              <w:rPr>
                <w:i/>
                <w:lang w:val="en-NZ"/>
              </w:rPr>
              <w:t>If bathing area is also used or drying; delete or adapt based on context</w:t>
            </w:r>
            <w:r w:rsidR="001835C8" w:rsidRPr="008425AC">
              <w:rPr>
                <w:lang w:val="en-NZ"/>
              </w:rPr>
              <w:t xml:space="preserve">]. </w:t>
            </w:r>
          </w:p>
        </w:tc>
        <w:tc>
          <w:tcPr>
            <w:tcW w:w="1109" w:type="dxa"/>
            <w:gridSpan w:val="2"/>
          </w:tcPr>
          <w:p w14:paraId="26D025DD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91707A" w14:paraId="7EDB6B8F" w14:textId="77777777" w:rsidTr="00F901AB">
        <w:tc>
          <w:tcPr>
            <w:tcW w:w="546" w:type="dxa"/>
          </w:tcPr>
          <w:p w14:paraId="225DA781" w14:textId="77777777" w:rsidR="0091707A" w:rsidRPr="005133DC" w:rsidRDefault="0091707A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7DEFD38E" w14:textId="6647EDE3" w:rsidR="0091707A" w:rsidRPr="008425AC" w:rsidRDefault="008425AC" w:rsidP="008425AC">
            <w:pPr>
              <w:rPr>
                <w:i/>
                <w:lang w:val="en-NZ"/>
              </w:rPr>
            </w:pPr>
            <w:r w:rsidRPr="008425AC">
              <w:rPr>
                <w:lang w:val="en-NZ"/>
              </w:rPr>
              <w:t xml:space="preserve">Wastewater from the bathing area drains into gravel (or similar) and drain outlets are covered </w:t>
            </w:r>
            <w:r w:rsidRPr="008425AC">
              <w:rPr>
                <w:i/>
                <w:lang w:val="en-NZ"/>
              </w:rPr>
              <w:t xml:space="preserve">(to ensure </w:t>
            </w:r>
            <w:r w:rsidR="0091707A" w:rsidRPr="008425AC">
              <w:rPr>
                <w:i/>
                <w:lang w:val="en-NZ"/>
              </w:rPr>
              <w:t xml:space="preserve">privacy for wastewater which may be pink or red tinged from washing menstrual </w:t>
            </w:r>
            <w:r w:rsidRPr="008425AC">
              <w:rPr>
                <w:i/>
                <w:lang w:val="en-NZ"/>
              </w:rPr>
              <w:t>materials</w:t>
            </w:r>
            <w:r w:rsidR="0091707A" w:rsidRPr="008425AC">
              <w:rPr>
                <w:i/>
                <w:lang w:val="en-NZ"/>
              </w:rPr>
              <w:t>).</w:t>
            </w:r>
          </w:p>
        </w:tc>
        <w:tc>
          <w:tcPr>
            <w:tcW w:w="1109" w:type="dxa"/>
            <w:gridSpan w:val="2"/>
          </w:tcPr>
          <w:p w14:paraId="7493EAAA" w14:textId="77777777" w:rsidR="0091707A" w:rsidRDefault="0091707A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99E742A" w14:textId="77777777" w:rsidR="0091707A" w:rsidRDefault="0091707A" w:rsidP="009B2625">
            <w:pPr>
              <w:rPr>
                <w:lang w:val="en-NZ"/>
              </w:rPr>
            </w:pPr>
          </w:p>
        </w:tc>
      </w:tr>
      <w:tr w:rsidR="008425AC" w14:paraId="6FB4F16A" w14:textId="77777777" w:rsidTr="00F901AB">
        <w:tc>
          <w:tcPr>
            <w:tcW w:w="546" w:type="dxa"/>
          </w:tcPr>
          <w:p w14:paraId="6A640DE5" w14:textId="77777777" w:rsidR="008425AC" w:rsidRPr="005133DC" w:rsidRDefault="008425AC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B75F079" w14:textId="751AE402" w:rsidR="008425AC" w:rsidRPr="008425AC" w:rsidRDefault="008425AC" w:rsidP="0091707A">
            <w:pPr>
              <w:rPr>
                <w:lang w:val="en-NZ"/>
              </w:rPr>
            </w:pPr>
            <w:r w:rsidRPr="008425AC">
              <w:rPr>
                <w:lang w:val="en-NZ"/>
              </w:rPr>
              <w:t xml:space="preserve">There are no muddy areas or standing water inside the bathing area.  </w:t>
            </w:r>
          </w:p>
        </w:tc>
        <w:tc>
          <w:tcPr>
            <w:tcW w:w="1109" w:type="dxa"/>
            <w:gridSpan w:val="2"/>
          </w:tcPr>
          <w:p w14:paraId="1697031D" w14:textId="77777777" w:rsidR="008425AC" w:rsidRDefault="008425AC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A5F2901" w14:textId="77777777" w:rsidR="008425AC" w:rsidRDefault="008425AC" w:rsidP="009B2625">
            <w:pPr>
              <w:rPr>
                <w:lang w:val="en-NZ"/>
              </w:rPr>
            </w:pPr>
          </w:p>
        </w:tc>
      </w:tr>
      <w:tr w:rsidR="00324921" w14:paraId="16EE0B2A" w14:textId="77777777" w:rsidTr="00F901AB">
        <w:tc>
          <w:tcPr>
            <w:tcW w:w="546" w:type="dxa"/>
          </w:tcPr>
          <w:p w14:paraId="61289307" w14:textId="77777777" w:rsidR="00324921" w:rsidRPr="005133DC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C9D63DC" w14:textId="54B3B7C1" w:rsidR="00324921" w:rsidRDefault="0091707A" w:rsidP="002C7001">
            <w:pPr>
              <w:rPr>
                <w:lang w:val="en-NZ"/>
              </w:rPr>
            </w:pPr>
            <w:r>
              <w:rPr>
                <w:lang w:val="en-NZ"/>
              </w:rPr>
              <w:t>Bathing area has a light source available during the night [</w:t>
            </w:r>
            <w:r w:rsidRPr="002C7001">
              <w:rPr>
                <w:i/>
                <w:lang w:val="en-NZ"/>
              </w:rPr>
              <w:t>if relevant</w:t>
            </w:r>
            <w:r>
              <w:rPr>
                <w:lang w:val="en-NZ"/>
              </w:rPr>
              <w:t>].</w:t>
            </w:r>
          </w:p>
        </w:tc>
        <w:tc>
          <w:tcPr>
            <w:tcW w:w="1109" w:type="dxa"/>
            <w:gridSpan w:val="2"/>
          </w:tcPr>
          <w:p w14:paraId="6D0CD379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019C02C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57468B" w14:paraId="2065E6D2" w14:textId="77777777" w:rsidTr="00F901AB">
        <w:tc>
          <w:tcPr>
            <w:tcW w:w="546" w:type="dxa"/>
          </w:tcPr>
          <w:p w14:paraId="3E96AB75" w14:textId="77777777" w:rsidR="0057468B" w:rsidRPr="005133DC" w:rsidRDefault="0057468B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353C7727" w14:textId="4B4E1527" w:rsidR="0057468B" w:rsidRDefault="0091707A" w:rsidP="009074EC">
            <w:pPr>
              <w:rPr>
                <w:lang w:val="en-NZ"/>
              </w:rPr>
            </w:pPr>
            <w:r>
              <w:rPr>
                <w:lang w:val="en-NZ"/>
              </w:rPr>
              <w:t>Waste bins (or other appropriate mechanism for disposal) for menstrual waste are located inside the bathing area.</w:t>
            </w:r>
          </w:p>
        </w:tc>
        <w:tc>
          <w:tcPr>
            <w:tcW w:w="1109" w:type="dxa"/>
            <w:gridSpan w:val="2"/>
          </w:tcPr>
          <w:p w14:paraId="6BB3F03A" w14:textId="77777777" w:rsidR="0057468B" w:rsidRDefault="0057468B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113D1D6" w14:textId="77777777" w:rsidR="0057468B" w:rsidRDefault="0057468B" w:rsidP="009B2625">
            <w:pPr>
              <w:rPr>
                <w:lang w:val="en-NZ"/>
              </w:rPr>
            </w:pPr>
          </w:p>
        </w:tc>
      </w:tr>
      <w:tr w:rsidR="002B39C7" w14:paraId="618B7324" w14:textId="77777777" w:rsidTr="00F901AB">
        <w:tc>
          <w:tcPr>
            <w:tcW w:w="546" w:type="dxa"/>
          </w:tcPr>
          <w:p w14:paraId="14BEF836" w14:textId="77777777" w:rsidR="002B39C7" w:rsidRPr="005133DC" w:rsidRDefault="002B39C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6AB9D775" w14:textId="1345EEDA" w:rsidR="00FA2562" w:rsidRPr="000C1A18" w:rsidRDefault="00FA2562" w:rsidP="00FA25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Bathing area </w:t>
            </w:r>
            <w:r w:rsidR="00967160">
              <w:rPr>
                <w:rFonts w:ascii="Arial" w:hAnsi="Arial" w:cs="Arial"/>
              </w:rPr>
              <w:t xml:space="preserve">(cubicle) </w:t>
            </w:r>
            <w:r>
              <w:rPr>
                <w:rFonts w:ascii="Arial" w:hAnsi="Arial" w:cs="Arial"/>
              </w:rPr>
              <w:t xml:space="preserve">meets minimum requirements for accessibility (for women and girls with disabilities, pregnant and older women): </w:t>
            </w:r>
          </w:p>
          <w:p w14:paraId="768B9BE9" w14:textId="77777777" w:rsidR="00FA2562" w:rsidRPr="000C1A18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at ground level or has a 90cm wide ramp of &lt;1:10 slope, </w:t>
            </w:r>
          </w:p>
          <w:p w14:paraId="64E935E0" w14:textId="77777777" w:rsidR="00FA2562" w:rsidRPr="000C1A18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eastAsiaTheme="minorEastAsia" w:hAnsi="Arial" w:cs="Arial"/>
              </w:rPr>
              <w:t xml:space="preserve">has 90cm wide doors that open outwards, </w:t>
            </w:r>
          </w:p>
          <w:p w14:paraId="61C4B282" w14:textId="77777777" w:rsidR="00FA2562" w:rsidRPr="000C1A18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 w:rsidRPr="000C1A18">
              <w:rPr>
                <w:rFonts w:ascii="Arial" w:eastAsiaTheme="minorEastAsia" w:hAnsi="Arial" w:cs="Arial"/>
              </w:rPr>
              <w:t xml:space="preserve">a bar to pull the door shut from inside, </w:t>
            </w:r>
          </w:p>
          <w:p w14:paraId="6B03E1F0" w14:textId="3104B798" w:rsidR="00FA2562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0C1A18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 xml:space="preserve">a seat, </w:t>
            </w:r>
          </w:p>
          <w:p w14:paraId="7F3B752C" w14:textId="528EA2B1" w:rsidR="00FA2562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handrails for support and </w:t>
            </w:r>
          </w:p>
          <w:p w14:paraId="0A55B399" w14:textId="77777777" w:rsidR="00FA2562" w:rsidRPr="00FA2562" w:rsidRDefault="00FA2562" w:rsidP="00FA2562">
            <w:pPr>
              <w:pStyle w:val="NoSpacing"/>
              <w:numPr>
                <w:ilvl w:val="0"/>
                <w:numId w:val="22"/>
              </w:numPr>
              <w:ind w:left="317"/>
              <w:rPr>
                <w:rFonts w:ascii="Arial" w:hAnsi="Arial" w:cs="Arial"/>
              </w:rPr>
            </w:pPr>
            <w:r w:rsidRPr="00FA2562">
              <w:rPr>
                <w:rFonts w:ascii="Arial" w:eastAsiaTheme="minorEastAsia" w:hAnsi="Arial" w:cs="Arial"/>
              </w:rPr>
              <w:t xml:space="preserve">is clearly signposted to be accessible. </w:t>
            </w:r>
          </w:p>
          <w:p w14:paraId="7D44DA3F" w14:textId="4CCDB27B" w:rsidR="00FA2562" w:rsidRPr="007309A1" w:rsidRDefault="00FA2562" w:rsidP="007309A1">
            <w:pPr>
              <w:spacing w:before="0"/>
              <w:rPr>
                <w:rFonts w:ascii="Times New Roman" w:hAnsi="Times New Roman"/>
                <w:sz w:val="24"/>
                <w:lang w:val="en-NZ"/>
              </w:rPr>
            </w:pPr>
          </w:p>
        </w:tc>
        <w:tc>
          <w:tcPr>
            <w:tcW w:w="1109" w:type="dxa"/>
            <w:gridSpan w:val="2"/>
          </w:tcPr>
          <w:p w14:paraId="5575B0A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06C39F" w14:textId="793C6212" w:rsidR="002B39C7" w:rsidRDefault="00FA2562" w:rsidP="00FA2562">
            <w:pPr>
              <w:rPr>
                <w:lang w:val="en-NZ"/>
              </w:rPr>
            </w:pPr>
            <w:r>
              <w:rPr>
                <w:i/>
                <w:color w:val="808080" w:themeColor="background1" w:themeShade="80"/>
                <w:lang w:val="en-NZ"/>
              </w:rPr>
              <w:t xml:space="preserve">Target = at least 10% of all communal </w:t>
            </w:r>
            <w:r>
              <w:rPr>
                <w:i/>
                <w:color w:val="808080" w:themeColor="background1" w:themeShade="80"/>
                <w:lang w:val="en-NZ"/>
              </w:rPr>
              <w:t>bathing areas</w:t>
            </w:r>
            <w:r>
              <w:rPr>
                <w:i/>
                <w:color w:val="808080" w:themeColor="background1" w:themeShade="80"/>
                <w:lang w:val="en-NZ"/>
              </w:rPr>
              <w:t>; or,</w:t>
            </w:r>
            <w:r>
              <w:rPr>
                <w:i/>
                <w:color w:val="808080" w:themeColor="background1" w:themeShade="80"/>
                <w:lang w:val="en-NZ"/>
              </w:rPr>
              <w:t xml:space="preserve"> if there is only one communal bathing facility </w:t>
            </w:r>
            <w:r>
              <w:rPr>
                <w:i/>
                <w:color w:val="808080" w:themeColor="background1" w:themeShade="80"/>
                <w:lang w:val="en-NZ"/>
              </w:rPr>
              <w:t>then it should be accessible (e.g. meet all minimum requirements outlined).</w:t>
            </w:r>
          </w:p>
        </w:tc>
      </w:tr>
      <w:tr w:rsidR="009D01CF" w14:paraId="28A1E452" w14:textId="77777777" w:rsidTr="00F901AB">
        <w:tc>
          <w:tcPr>
            <w:tcW w:w="546" w:type="dxa"/>
          </w:tcPr>
          <w:p w14:paraId="284BDAEC" w14:textId="77777777" w:rsidR="009D01CF" w:rsidRPr="005133DC" w:rsidRDefault="009D01CF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11A4E01" w14:textId="19F70D5C" w:rsidR="00FA2562" w:rsidRDefault="00FA2562" w:rsidP="00FA2562">
            <w:pPr>
              <w:rPr>
                <w:lang w:val="en-NZ"/>
              </w:rPr>
            </w:pPr>
            <w:r>
              <w:rPr>
                <w:lang w:val="en-NZ"/>
              </w:rPr>
              <w:t xml:space="preserve">Water source for bathing is </w:t>
            </w:r>
            <w:r>
              <w:rPr>
                <w:lang w:val="en-NZ"/>
              </w:rPr>
              <w:t>accessible to persons with</w:t>
            </w:r>
            <w:r>
              <w:rPr>
                <w:lang w:val="en-NZ"/>
              </w:rPr>
              <w:t xml:space="preserve"> mobility limitations. </w:t>
            </w:r>
          </w:p>
        </w:tc>
        <w:tc>
          <w:tcPr>
            <w:tcW w:w="1109" w:type="dxa"/>
            <w:gridSpan w:val="2"/>
          </w:tcPr>
          <w:p w14:paraId="692F2DAA" w14:textId="77777777" w:rsidR="009D01CF" w:rsidRDefault="009D01CF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1F7C087" w14:textId="1C1F11AF" w:rsidR="009D01CF" w:rsidRDefault="00FA2562" w:rsidP="00FA2562">
            <w:pPr>
              <w:rPr>
                <w:lang w:val="en-NZ"/>
              </w:rPr>
            </w:pPr>
            <w:r w:rsidRPr="006B425B">
              <w:rPr>
                <w:i/>
                <w:color w:val="808080" w:themeColor="background1" w:themeShade="80"/>
                <w:lang w:val="en-NZ"/>
              </w:rPr>
              <w:t xml:space="preserve">Target =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at least </w:t>
            </w:r>
            <w:r>
              <w:rPr>
                <w:i/>
                <w:color w:val="808080" w:themeColor="background1" w:themeShade="80"/>
                <w:lang w:val="en-NZ"/>
              </w:rPr>
              <w:t xml:space="preserve">10% of all </w:t>
            </w:r>
            <w:r w:rsidRPr="006B425B">
              <w:rPr>
                <w:i/>
                <w:color w:val="808080" w:themeColor="background1" w:themeShade="80"/>
                <w:lang w:val="en-NZ"/>
              </w:rPr>
              <w:t xml:space="preserve"> facilities</w:t>
            </w:r>
          </w:p>
        </w:tc>
      </w:tr>
      <w:tr w:rsidR="00FD5945" w14:paraId="43702EE4" w14:textId="77777777" w:rsidTr="00F901AB">
        <w:tc>
          <w:tcPr>
            <w:tcW w:w="546" w:type="dxa"/>
          </w:tcPr>
          <w:p w14:paraId="3A9BC6F8" w14:textId="77777777" w:rsidR="00FD5945" w:rsidRPr="005133DC" w:rsidRDefault="00FD5945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52CF289" w14:textId="05D344EC" w:rsidR="00FD5945" w:rsidRDefault="006A3D5E" w:rsidP="00F10A50">
            <w:pPr>
              <w:rPr>
                <w:lang w:val="en-NZ"/>
              </w:rPr>
            </w:pPr>
            <w:r>
              <w:rPr>
                <w:lang w:val="en-NZ"/>
              </w:rPr>
              <w:t>Bathing area is clean with no menstrual waste, faeces or other material on the floor.</w:t>
            </w:r>
          </w:p>
        </w:tc>
        <w:tc>
          <w:tcPr>
            <w:tcW w:w="1109" w:type="dxa"/>
            <w:gridSpan w:val="2"/>
          </w:tcPr>
          <w:p w14:paraId="28612E77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34043A7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700F27" w14:paraId="7AE11546" w14:textId="77777777" w:rsidTr="00F901AB">
        <w:tc>
          <w:tcPr>
            <w:tcW w:w="546" w:type="dxa"/>
          </w:tcPr>
          <w:p w14:paraId="1FCEAB7F" w14:textId="77777777" w:rsidR="00700F27" w:rsidRPr="005133DC" w:rsidRDefault="00700F27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695EB18" w14:textId="641DDF8D" w:rsidR="006A3D5E" w:rsidRDefault="006A3D5E" w:rsidP="006A3D5E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Products and items for cleaning </w:t>
            </w:r>
            <w:r>
              <w:rPr>
                <w:lang w:val="en-NZ"/>
              </w:rPr>
              <w:t>the bathing area</w:t>
            </w:r>
            <w:r w:rsidRPr="00185CC0">
              <w:rPr>
                <w:lang w:val="en-NZ"/>
              </w:rPr>
              <w:t xml:space="preserve"> are locate</w:t>
            </w:r>
            <w:r>
              <w:rPr>
                <w:lang w:val="en-NZ"/>
              </w:rPr>
              <w:t>d close by (or inside)</w:t>
            </w:r>
            <w:r w:rsidRPr="00185CC0">
              <w:rPr>
                <w:lang w:val="en-NZ"/>
              </w:rPr>
              <w:t xml:space="preserve"> </w:t>
            </w:r>
            <w:r w:rsidRPr="00185CC0">
              <w:rPr>
                <w:i/>
                <w:lang w:val="en-NZ"/>
              </w:rPr>
              <w:t>[if applicable, adapt based on context]</w:t>
            </w:r>
            <w:r w:rsidRPr="00185CC0">
              <w:rPr>
                <w:lang w:val="en-NZ"/>
              </w:rPr>
              <w:t>.</w:t>
            </w:r>
          </w:p>
        </w:tc>
        <w:tc>
          <w:tcPr>
            <w:tcW w:w="1109" w:type="dxa"/>
            <w:gridSpan w:val="2"/>
          </w:tcPr>
          <w:p w14:paraId="5068EE41" w14:textId="77777777" w:rsidR="00700F27" w:rsidRDefault="00700F2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891B16" w14:textId="77777777" w:rsidR="00700F27" w:rsidRDefault="00700F27" w:rsidP="009B2625">
            <w:pPr>
              <w:rPr>
                <w:lang w:val="en-NZ"/>
              </w:rPr>
            </w:pPr>
          </w:p>
        </w:tc>
      </w:tr>
      <w:tr w:rsidR="00324921" w14:paraId="3E84C68F" w14:textId="77777777" w:rsidTr="00F901AB">
        <w:tc>
          <w:tcPr>
            <w:tcW w:w="5098" w:type="dxa"/>
            <w:gridSpan w:val="3"/>
            <w:shd w:val="clear" w:color="auto" w:fill="F2F2F2" w:themeFill="background1" w:themeFillShade="F2"/>
          </w:tcPr>
          <w:p w14:paraId="452F000E" w14:textId="77777777" w:rsidR="00324921" w:rsidRPr="00A41C75" w:rsidRDefault="00324921" w:rsidP="009B2625">
            <w:pPr>
              <w:rPr>
                <w:i/>
                <w:lang w:val="en-NZ"/>
              </w:rPr>
            </w:pPr>
            <w:r w:rsidRPr="00A41C75">
              <w:rPr>
                <w:i/>
                <w:lang w:val="en-NZ"/>
              </w:rPr>
              <w:t>Additional non-</w:t>
            </w:r>
            <w:r>
              <w:rPr>
                <w:i/>
                <w:lang w:val="en-NZ"/>
              </w:rPr>
              <w:t>essential</w:t>
            </w:r>
            <w:r w:rsidRPr="00A41C75">
              <w:rPr>
                <w:i/>
                <w:lang w:val="en-NZ"/>
              </w:rPr>
              <w:t xml:space="preserve"> improvements: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372202F6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2ED8641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044ACB65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06C22DA0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008360DD" w14:textId="77777777" w:rsidR="00700F27" w:rsidRPr="00185CC0" w:rsidRDefault="00700F27" w:rsidP="00700F27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There is a poster or sign inside the latrine with instructions on how to dispose of menstrual waste. </w:t>
            </w:r>
          </w:p>
          <w:p w14:paraId="625D0626" w14:textId="49CD7AB0" w:rsidR="00700F27" w:rsidRDefault="00700F27" w:rsidP="00F10A50">
            <w:pPr>
              <w:rPr>
                <w:lang w:val="en-NZ"/>
              </w:rPr>
            </w:pPr>
            <w:r w:rsidRPr="00185CC0">
              <w:rPr>
                <w:lang w:val="en-NZ"/>
              </w:rPr>
              <w:t xml:space="preserve">If yes: </w:t>
            </w:r>
            <w:r>
              <w:rPr>
                <w:lang w:val="en-NZ"/>
              </w:rPr>
              <w:t>The poster/</w:t>
            </w:r>
            <w:r w:rsidRPr="00185CC0">
              <w:rPr>
                <w:lang w:val="en-NZ"/>
              </w:rPr>
              <w:t xml:space="preserve">sign </w:t>
            </w:r>
            <w:r>
              <w:rPr>
                <w:lang w:val="en-NZ"/>
              </w:rPr>
              <w:t xml:space="preserve">is </w:t>
            </w:r>
            <w:r w:rsidRPr="00185CC0">
              <w:rPr>
                <w:lang w:val="en-NZ"/>
              </w:rPr>
              <w:t xml:space="preserve">in easy-to-understand language and includes </w:t>
            </w:r>
            <w:r>
              <w:rPr>
                <w:lang w:val="en-NZ"/>
              </w:rPr>
              <w:t>pictures/pictograms.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25C1D465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17FDF272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277A787E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44699C36" w14:textId="77777777" w:rsidR="00324921" w:rsidRPr="003861A1" w:rsidRDefault="00324921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229A9823" w14:textId="1F1CCF5A" w:rsidR="00324921" w:rsidRDefault="00324921" w:rsidP="00F10A50">
            <w:pPr>
              <w:rPr>
                <w:lang w:val="en-NZ"/>
              </w:rPr>
            </w:pPr>
            <w:r>
              <w:rPr>
                <w:lang w:val="en-NZ"/>
              </w:rPr>
              <w:t xml:space="preserve">There is a mirror (in a low position) inside the </w:t>
            </w:r>
            <w:r w:rsidR="00F10A50">
              <w:rPr>
                <w:lang w:val="en-NZ"/>
              </w:rPr>
              <w:t xml:space="preserve">bathing area </w:t>
            </w:r>
            <w:r w:rsidRPr="00A41C75">
              <w:rPr>
                <w:i/>
                <w:lang w:val="en-NZ"/>
              </w:rPr>
              <w:t>(for women and girls check clothing for blood stains)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1FCB4C5C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553D3080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79236D" w14:paraId="5F4274EB" w14:textId="77777777" w:rsidTr="00F901AB">
        <w:tc>
          <w:tcPr>
            <w:tcW w:w="546" w:type="dxa"/>
            <w:shd w:val="clear" w:color="auto" w:fill="F2F2F2" w:themeFill="background1" w:themeFillShade="F2"/>
          </w:tcPr>
          <w:p w14:paraId="77A0C6F5" w14:textId="77777777" w:rsidR="0079236D" w:rsidRPr="003861A1" w:rsidRDefault="0079236D" w:rsidP="0079236D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  <w:shd w:val="clear" w:color="auto" w:fill="F2F2F2" w:themeFill="background1" w:themeFillShade="F2"/>
          </w:tcPr>
          <w:p w14:paraId="6DFDA0A2" w14:textId="21325484" w:rsidR="0079236D" w:rsidRDefault="00012600" w:rsidP="00F10A50">
            <w:pPr>
              <w:rPr>
                <w:lang w:val="en-NZ"/>
              </w:rPr>
            </w:pPr>
            <w:r>
              <w:rPr>
                <w:lang w:val="en-NZ"/>
              </w:rPr>
              <w:t xml:space="preserve">Direct access to water inside </w:t>
            </w:r>
            <w:r w:rsidR="00F10A50">
              <w:rPr>
                <w:lang w:val="en-NZ"/>
              </w:rPr>
              <w:t xml:space="preserve">each bathing </w:t>
            </w:r>
            <w:r>
              <w:rPr>
                <w:lang w:val="en-NZ"/>
              </w:rPr>
              <w:t xml:space="preserve">cubicle/stall. </w:t>
            </w:r>
          </w:p>
        </w:tc>
        <w:tc>
          <w:tcPr>
            <w:tcW w:w="1109" w:type="dxa"/>
            <w:gridSpan w:val="2"/>
            <w:shd w:val="clear" w:color="auto" w:fill="F2F2F2" w:themeFill="background1" w:themeFillShade="F2"/>
          </w:tcPr>
          <w:p w14:paraId="36085BF7" w14:textId="77777777" w:rsidR="0079236D" w:rsidRDefault="0079236D" w:rsidP="009B262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F2F2F2" w:themeFill="background1" w:themeFillShade="F2"/>
          </w:tcPr>
          <w:p w14:paraId="79BCE8F8" w14:textId="77777777" w:rsidR="0079236D" w:rsidRDefault="0079236D" w:rsidP="009B2625">
            <w:pPr>
              <w:rPr>
                <w:lang w:val="en-NZ"/>
              </w:rPr>
            </w:pPr>
          </w:p>
        </w:tc>
      </w:tr>
      <w:tr w:rsidR="00324921" w14:paraId="184B17F7" w14:textId="77777777" w:rsidTr="009B2625">
        <w:tc>
          <w:tcPr>
            <w:tcW w:w="9763" w:type="dxa"/>
            <w:gridSpan w:val="6"/>
            <w:shd w:val="clear" w:color="auto" w:fill="FBD4B4" w:themeFill="accent6" w:themeFillTint="66"/>
          </w:tcPr>
          <w:p w14:paraId="206D3305" w14:textId="5A44D718" w:rsidR="00324921" w:rsidRPr="005133DC" w:rsidRDefault="007E630C" w:rsidP="007309A1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FOR DISCUSSIONS WITH WOMEN AND GIRLS, PERSONS WITH DISABILITIES:  </w:t>
            </w:r>
          </w:p>
        </w:tc>
      </w:tr>
      <w:tr w:rsidR="00324921" w14:paraId="57EBF90D" w14:textId="77777777" w:rsidTr="009B2625">
        <w:tc>
          <w:tcPr>
            <w:tcW w:w="5098" w:type="dxa"/>
            <w:gridSpan w:val="3"/>
            <w:vAlign w:val="center"/>
          </w:tcPr>
          <w:p w14:paraId="13E32DB5" w14:textId="77777777" w:rsidR="00324921" w:rsidRPr="001E36C0" w:rsidRDefault="00324921" w:rsidP="009B2625">
            <w:pPr>
              <w:jc w:val="center"/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>Minimum standard to check</w:t>
            </w:r>
          </w:p>
        </w:tc>
        <w:tc>
          <w:tcPr>
            <w:tcW w:w="993" w:type="dxa"/>
            <w:vAlign w:val="center"/>
          </w:tcPr>
          <w:p w14:paraId="0D5D3D77" w14:textId="77777777" w:rsidR="00324921" w:rsidRPr="001E36C0" w:rsidRDefault="00324921" w:rsidP="009B262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Yes/</w:t>
            </w:r>
            <w:r w:rsidRPr="001E36C0">
              <w:rPr>
                <w:b/>
                <w:lang w:val="en-NZ"/>
              </w:rPr>
              <w:t>No</w:t>
            </w:r>
          </w:p>
        </w:tc>
        <w:tc>
          <w:tcPr>
            <w:tcW w:w="3672" w:type="dxa"/>
            <w:gridSpan w:val="2"/>
            <w:vAlign w:val="center"/>
          </w:tcPr>
          <w:p w14:paraId="4D0BC75C" w14:textId="77777777" w:rsidR="00324921" w:rsidRPr="001E36C0" w:rsidRDefault="00324921" w:rsidP="009B2625">
            <w:pPr>
              <w:rPr>
                <w:b/>
                <w:lang w:val="en-NZ"/>
              </w:rPr>
            </w:pPr>
            <w:r w:rsidRPr="001E36C0">
              <w:rPr>
                <w:b/>
                <w:lang w:val="en-NZ"/>
              </w:rPr>
              <w:t xml:space="preserve">Action needed to meet standard </w:t>
            </w:r>
          </w:p>
        </w:tc>
      </w:tr>
      <w:tr w:rsidR="002B39C7" w14:paraId="70C0CAB0" w14:textId="77777777" w:rsidTr="009B2625">
        <w:tc>
          <w:tcPr>
            <w:tcW w:w="562" w:type="dxa"/>
            <w:gridSpan w:val="2"/>
          </w:tcPr>
          <w:p w14:paraId="265A5FC3" w14:textId="77777777" w:rsidR="002B39C7" w:rsidRPr="005133DC" w:rsidRDefault="002B39C7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  <w:bookmarkStart w:id="1" w:name="_GoBack"/>
            <w:bookmarkEnd w:id="1"/>
          </w:p>
        </w:tc>
        <w:tc>
          <w:tcPr>
            <w:tcW w:w="4536" w:type="dxa"/>
          </w:tcPr>
          <w:p w14:paraId="74187934" w14:textId="2C943565" w:rsidR="00D65928" w:rsidRDefault="00D65928" w:rsidP="00D65928">
            <w:pPr>
              <w:rPr>
                <w:lang w:val="en-NZ"/>
              </w:rPr>
            </w:pPr>
            <w:r>
              <w:rPr>
                <w:lang w:val="en-NZ"/>
              </w:rPr>
              <w:t xml:space="preserve">Are people following the gender segregation instructions for </w:t>
            </w:r>
            <w:r>
              <w:rPr>
                <w:lang w:val="en-NZ"/>
              </w:rPr>
              <w:t>bathing areas</w:t>
            </w:r>
            <w:r>
              <w:rPr>
                <w:lang w:val="en-NZ"/>
              </w:rPr>
              <w:t xml:space="preserve">? </w:t>
            </w:r>
            <w:r w:rsidRPr="00237395">
              <w:rPr>
                <w:i/>
                <w:lang w:val="en-NZ"/>
              </w:rPr>
              <w:t xml:space="preserve">(E.g. are males only using </w:t>
            </w:r>
            <w:r w:rsidRPr="00D65928">
              <w:rPr>
                <w:i/>
                <w:lang w:val="en-NZ"/>
              </w:rPr>
              <w:t xml:space="preserve">male </w:t>
            </w:r>
            <w:r w:rsidRPr="00D65928">
              <w:rPr>
                <w:i/>
              </w:rPr>
              <w:t>bathing area</w:t>
            </w:r>
            <w:r w:rsidRPr="00237395">
              <w:rPr>
                <w:i/>
                <w:lang w:val="en-NZ"/>
              </w:rPr>
              <w:t>)</w:t>
            </w:r>
          </w:p>
        </w:tc>
        <w:tc>
          <w:tcPr>
            <w:tcW w:w="993" w:type="dxa"/>
          </w:tcPr>
          <w:p w14:paraId="69EEB706" w14:textId="77777777" w:rsidR="002B39C7" w:rsidRDefault="002B39C7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5F05A31" w14:textId="77777777" w:rsidR="00370DA1" w:rsidRDefault="00370DA1" w:rsidP="009B2625">
            <w:pPr>
              <w:rPr>
                <w:lang w:val="en-NZ"/>
              </w:rPr>
            </w:pPr>
          </w:p>
        </w:tc>
      </w:tr>
      <w:tr w:rsidR="00324921" w14:paraId="33D05F8F" w14:textId="77777777" w:rsidTr="009B2625">
        <w:tc>
          <w:tcPr>
            <w:tcW w:w="562" w:type="dxa"/>
            <w:gridSpan w:val="2"/>
          </w:tcPr>
          <w:p w14:paraId="12BE3F64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792A6BD" w14:textId="37769237" w:rsidR="00D65928" w:rsidRDefault="00D65928" w:rsidP="00D65928">
            <w:pPr>
              <w:rPr>
                <w:lang w:val="en-NZ"/>
              </w:rPr>
            </w:pPr>
            <w:r>
              <w:rPr>
                <w:lang w:val="en-NZ"/>
              </w:rPr>
              <w:t>Do you feel that the bathing areas are located in an appropriate and accessible place? Why or why not?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4013581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127ED8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493E8E26" w14:textId="77777777" w:rsidTr="009B2625">
        <w:tc>
          <w:tcPr>
            <w:tcW w:w="562" w:type="dxa"/>
            <w:gridSpan w:val="2"/>
          </w:tcPr>
          <w:p w14:paraId="5BEED307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22AAD3" w14:textId="7C48D6BF" w:rsidR="00324921" w:rsidRDefault="00D65928" w:rsidP="007309A1">
            <w:pPr>
              <w:rPr>
                <w:lang w:val="en-NZ"/>
              </w:rPr>
            </w:pPr>
            <w:r>
              <w:rPr>
                <w:lang w:val="en-NZ"/>
              </w:rPr>
              <w:t xml:space="preserve">Do you feel comfortable and safe using the </w:t>
            </w:r>
            <w:r>
              <w:t xml:space="preserve">bathing area </w:t>
            </w:r>
            <w:r>
              <w:rPr>
                <w:lang w:val="en-NZ"/>
              </w:rPr>
              <w:t>in the day and at night (if relevant)? Is there enough privacy? Why or why not?</w:t>
            </w:r>
          </w:p>
        </w:tc>
        <w:tc>
          <w:tcPr>
            <w:tcW w:w="993" w:type="dxa"/>
          </w:tcPr>
          <w:p w14:paraId="71006772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8D77ED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D65928" w14:paraId="59D6AAB0" w14:textId="77777777" w:rsidTr="009B2625">
        <w:tc>
          <w:tcPr>
            <w:tcW w:w="562" w:type="dxa"/>
            <w:gridSpan w:val="2"/>
          </w:tcPr>
          <w:p w14:paraId="522045E9" w14:textId="77777777" w:rsidR="00D65928" w:rsidRPr="005133DC" w:rsidRDefault="00D65928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3B26DCC1" w14:textId="797DA067" w:rsidR="00D65928" w:rsidRDefault="00D65928" w:rsidP="00D65928">
            <w:pPr>
              <w:rPr>
                <w:lang w:val="en-NZ"/>
              </w:rPr>
            </w:pPr>
            <w:r>
              <w:t xml:space="preserve">Is there always water available near </w:t>
            </w:r>
            <w:r>
              <w:t xml:space="preserve">or at the facility to bathe and to </w:t>
            </w:r>
            <w:r>
              <w:t xml:space="preserve">wash menstrual materials? Where is water sourced? </w:t>
            </w:r>
          </w:p>
        </w:tc>
        <w:tc>
          <w:tcPr>
            <w:tcW w:w="993" w:type="dxa"/>
          </w:tcPr>
          <w:p w14:paraId="5CEF9B2C" w14:textId="77777777" w:rsidR="00D65928" w:rsidRDefault="00D6592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6F20D6A0" w14:textId="77777777" w:rsidR="00D65928" w:rsidRDefault="00D65928" w:rsidP="009B2625">
            <w:pPr>
              <w:rPr>
                <w:lang w:val="en-NZ"/>
              </w:rPr>
            </w:pPr>
          </w:p>
        </w:tc>
      </w:tr>
      <w:tr w:rsidR="00ED16BC" w14:paraId="0622B6FA" w14:textId="77777777" w:rsidTr="009B2625">
        <w:tc>
          <w:tcPr>
            <w:tcW w:w="562" w:type="dxa"/>
            <w:gridSpan w:val="2"/>
          </w:tcPr>
          <w:p w14:paraId="010173FC" w14:textId="77777777" w:rsidR="00ED16BC" w:rsidRPr="005133DC" w:rsidRDefault="00ED16BC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FCB3B7A" w14:textId="60E03160" w:rsidR="00ED16BC" w:rsidRDefault="00ED16BC" w:rsidP="00ED16BC">
            <w:r>
              <w:t xml:space="preserve">Where do you wash and dry your menstrual materials (if using reusable pads or cloth) and underwear? Why? </w:t>
            </w:r>
          </w:p>
        </w:tc>
        <w:tc>
          <w:tcPr>
            <w:tcW w:w="993" w:type="dxa"/>
          </w:tcPr>
          <w:p w14:paraId="22B58240" w14:textId="77777777" w:rsidR="00ED16BC" w:rsidRDefault="00ED16BC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2852A8CE" w14:textId="77777777" w:rsidR="00ED16BC" w:rsidRDefault="00ED16BC" w:rsidP="009B2625">
            <w:pPr>
              <w:rPr>
                <w:lang w:val="en-NZ"/>
              </w:rPr>
            </w:pPr>
          </w:p>
        </w:tc>
      </w:tr>
      <w:tr w:rsidR="00324921" w14:paraId="3C80928E" w14:textId="77777777" w:rsidTr="009B2625">
        <w:tc>
          <w:tcPr>
            <w:tcW w:w="562" w:type="dxa"/>
            <w:gridSpan w:val="2"/>
          </w:tcPr>
          <w:p w14:paraId="7FE0137B" w14:textId="77777777" w:rsidR="00324921" w:rsidRPr="005133DC" w:rsidRDefault="00324921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258410E" w14:textId="097BC41E" w:rsidR="00D65928" w:rsidRDefault="00D65928" w:rsidP="007309A1">
            <w:pPr>
              <w:rPr>
                <w:lang w:val="en-NZ"/>
              </w:rPr>
            </w:pPr>
            <w:r>
              <w:rPr>
                <w:lang w:val="en-NZ"/>
              </w:rPr>
              <w:t>Do you feel comfortable changing, washing/drying and disposing of your menstrual materials? Why or why not? How could it be improved?</w:t>
            </w:r>
          </w:p>
        </w:tc>
        <w:tc>
          <w:tcPr>
            <w:tcW w:w="993" w:type="dxa"/>
          </w:tcPr>
          <w:p w14:paraId="1EC49B2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781755E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717E8" w14:paraId="1A49FB3D" w14:textId="77777777" w:rsidTr="009B2625">
        <w:tc>
          <w:tcPr>
            <w:tcW w:w="562" w:type="dxa"/>
            <w:gridSpan w:val="2"/>
          </w:tcPr>
          <w:p w14:paraId="4F47D838" w14:textId="77777777" w:rsidR="003717E8" w:rsidRPr="005133DC" w:rsidRDefault="003717E8" w:rsidP="005603A2">
            <w:pPr>
              <w:pStyle w:val="ListParagraph"/>
              <w:numPr>
                <w:ilvl w:val="0"/>
                <w:numId w:val="23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23EB968" w14:textId="416C6019" w:rsidR="003717E8" w:rsidRDefault="00D65928" w:rsidP="00D65928">
            <w:pPr>
              <w:rPr>
                <w:lang w:val="en-NZ"/>
              </w:rPr>
            </w:pPr>
            <w:r>
              <w:rPr>
                <w:lang w:val="en-NZ"/>
              </w:rPr>
              <w:t>Who is responsible for cleaning</w:t>
            </w:r>
            <w:r>
              <w:rPr>
                <w:lang w:val="en-NZ"/>
              </w:rPr>
              <w:t xml:space="preserve"> and maintaining </w:t>
            </w:r>
            <w:r>
              <w:rPr>
                <w:lang w:val="en-NZ"/>
              </w:rPr>
              <w:t xml:space="preserve">the </w:t>
            </w:r>
            <w:r>
              <w:rPr>
                <w:lang w:val="en-NZ"/>
              </w:rPr>
              <w:t xml:space="preserve">bathing area? </w:t>
            </w:r>
            <w:r>
              <w:rPr>
                <w:lang w:val="en-NZ"/>
              </w:rPr>
              <w:t xml:space="preserve">Are there any challenges keeping </w:t>
            </w:r>
            <w:r>
              <w:rPr>
                <w:lang w:val="en-NZ"/>
              </w:rPr>
              <w:t xml:space="preserve">it </w:t>
            </w:r>
            <w:r>
              <w:rPr>
                <w:lang w:val="en-NZ"/>
              </w:rPr>
              <w:t xml:space="preserve">clean? How can it be improved? </w:t>
            </w:r>
          </w:p>
        </w:tc>
        <w:tc>
          <w:tcPr>
            <w:tcW w:w="993" w:type="dxa"/>
          </w:tcPr>
          <w:p w14:paraId="0B5B9530" w14:textId="77777777" w:rsidR="003717E8" w:rsidRDefault="003717E8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53771413" w14:textId="77777777" w:rsidR="003717E8" w:rsidRDefault="003717E8" w:rsidP="009B2625">
            <w:pPr>
              <w:rPr>
                <w:lang w:val="en-NZ"/>
              </w:rPr>
            </w:pPr>
          </w:p>
        </w:tc>
      </w:tr>
    </w:tbl>
    <w:p w14:paraId="6874F245" w14:textId="64DBB2C8" w:rsidR="00DF70F3" w:rsidRPr="00621172" w:rsidRDefault="00DF70F3" w:rsidP="007369C2">
      <w:pPr>
        <w:tabs>
          <w:tab w:val="left" w:pos="5900"/>
        </w:tabs>
        <w:rPr>
          <w:rFonts w:cs="Arial"/>
          <w:szCs w:val="22"/>
        </w:rPr>
      </w:pPr>
    </w:p>
    <w:sectPr w:rsidR="00DF70F3" w:rsidRPr="00621172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32ECE" w16cid:durableId="20C73AD7"/>
  <w16cid:commentId w16cid:paraId="27B18516" w16cid:durableId="20C73B4F"/>
  <w16cid:commentId w16cid:paraId="30AF10D3" w16cid:durableId="20BFAD29"/>
  <w16cid:commentId w16cid:paraId="35E31D76" w16cid:durableId="20C1001E"/>
  <w16cid:commentId w16cid:paraId="062D7360" w16cid:durableId="20C10051"/>
  <w16cid:commentId w16cid:paraId="32A58942" w16cid:durableId="20BFAD58"/>
  <w16cid:commentId w16cid:paraId="5EC22717" w16cid:durableId="20BFAD50"/>
  <w16cid:commentId w16cid:paraId="7C813C53" w16cid:durableId="20C73CDB"/>
  <w16cid:commentId w16cid:paraId="132AA8F9" w16cid:durableId="20C10325"/>
  <w16cid:commentId w16cid:paraId="3F5C0AB8" w16cid:durableId="20B361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47F95" w14:textId="77777777" w:rsidR="0081287C" w:rsidRDefault="0081287C">
      <w:r>
        <w:separator/>
      </w:r>
    </w:p>
    <w:p w14:paraId="60AF4534" w14:textId="77777777" w:rsidR="0081287C" w:rsidRDefault="0081287C"/>
    <w:p w14:paraId="3EFEC012" w14:textId="77777777" w:rsidR="0081287C" w:rsidRDefault="0081287C"/>
  </w:endnote>
  <w:endnote w:type="continuationSeparator" w:id="0">
    <w:p w14:paraId="0776609D" w14:textId="77777777" w:rsidR="0081287C" w:rsidRDefault="0081287C">
      <w:r>
        <w:continuationSeparator/>
      </w:r>
    </w:p>
    <w:p w14:paraId="63651C3B" w14:textId="77777777" w:rsidR="0081287C" w:rsidRDefault="0081287C"/>
    <w:p w14:paraId="38F9024A" w14:textId="77777777" w:rsidR="0081287C" w:rsidRDefault="0081287C"/>
  </w:endnote>
  <w:endnote w:type="continuationNotice" w:id="1">
    <w:p w14:paraId="0DB14CD3" w14:textId="77777777" w:rsidR="0081287C" w:rsidRDefault="008128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44E4398A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603A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603A2">
      <w:rPr>
        <w:b/>
        <w:bCs/>
        <w:noProof/>
      </w:rPr>
      <w:t>3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6DE8E899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5603A2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5603A2">
      <w:rPr>
        <w:b/>
        <w:bCs/>
        <w:noProof/>
        <w:sz w:val="20"/>
      </w:rPr>
      <w:t>3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AB3F7" w14:textId="77777777" w:rsidR="0081287C" w:rsidRDefault="0081287C">
      <w:r>
        <w:separator/>
      </w:r>
    </w:p>
    <w:p w14:paraId="5586EC10" w14:textId="77777777" w:rsidR="0081287C" w:rsidRDefault="0081287C"/>
    <w:p w14:paraId="341AF9C8" w14:textId="77777777" w:rsidR="0081287C" w:rsidRDefault="0081287C"/>
  </w:footnote>
  <w:footnote w:type="continuationSeparator" w:id="0">
    <w:p w14:paraId="6A8716BA" w14:textId="77777777" w:rsidR="0081287C" w:rsidRDefault="0081287C">
      <w:r>
        <w:continuationSeparator/>
      </w:r>
    </w:p>
    <w:p w14:paraId="5B7FC8CB" w14:textId="77777777" w:rsidR="0081287C" w:rsidRDefault="0081287C"/>
    <w:p w14:paraId="5046EAD0" w14:textId="77777777" w:rsidR="0081287C" w:rsidRDefault="0081287C"/>
  </w:footnote>
  <w:footnote w:type="continuationNotice" w:id="1">
    <w:p w14:paraId="7BA987B0" w14:textId="77777777" w:rsidR="0081287C" w:rsidRDefault="0081287C">
      <w:pPr>
        <w:spacing w:before="0"/>
      </w:pPr>
    </w:p>
  </w:footnote>
  <w:footnote w:id="2">
    <w:p w14:paraId="3E4D6BF7" w14:textId="77777777" w:rsidR="003F3E5F" w:rsidRPr="007832D9" w:rsidRDefault="003F3E5F" w:rsidP="003F3E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32D9">
        <w:rPr>
          <w:rFonts w:cs="Arial"/>
          <w:szCs w:val="22"/>
          <w:lang w:val="en-GB"/>
        </w:rPr>
        <w:t>Note that only key discussion points are included here; more in-depth monitoring of WASH programming should be done (see the full MHM guide [Step 7], Tool 1, Tool 11 and Tool 13 for more guidance).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3">
    <w:p w14:paraId="64EE450F" w14:textId="135C1972" w:rsidR="003B10EE" w:rsidRPr="003B10EE" w:rsidRDefault="003B10EE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 xml:space="preserve">Adapted from </w:t>
      </w:r>
      <w:r w:rsidRPr="00DA10BF">
        <w:rPr>
          <w:color w:val="0563C1"/>
          <w:u w:val="single"/>
        </w:rPr>
        <w:t>Global toolkit for integrating Menstrual Hygiene Management (MHM) into humanitarian response</w:t>
      </w:r>
      <w:r>
        <w:rPr>
          <w:lang w:val="en-NZ"/>
        </w:rPr>
        <w:t>.</w:t>
      </w:r>
      <w:r>
        <w:rPr>
          <w:lang w:val="en-N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3B653B8D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5603A2">
      <w:rPr>
        <w:rStyle w:val="PageNumber"/>
        <w:rFonts w:ascii="Arial" w:hAnsi="Arial" w:cs="Arial"/>
        <w:b/>
        <w:bCs/>
        <w:noProof/>
        <w:sz w:val="16"/>
        <w:szCs w:val="16"/>
      </w:rPr>
      <w:t>3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706A21">
      <w:rPr>
        <w:rFonts w:ascii="Arial" w:hAnsi="Arial"/>
        <w:b/>
        <w:color w:val="7F7F7F"/>
        <w:sz w:val="16"/>
      </w:rPr>
      <w:t xml:space="preserve">Pilot version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E5969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21"/>
  </w:num>
  <w:num w:numId="7">
    <w:abstractNumId w:val="0"/>
  </w:num>
  <w:num w:numId="8">
    <w:abstractNumId w:val="22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7"/>
  </w:num>
  <w:num w:numId="22">
    <w:abstractNumId w:val="19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6F0F"/>
    <w:rsid w:val="00021F6B"/>
    <w:rsid w:val="00033052"/>
    <w:rsid w:val="00036D05"/>
    <w:rsid w:val="0005078D"/>
    <w:rsid w:val="00075A92"/>
    <w:rsid w:val="000A3B95"/>
    <w:rsid w:val="000A7CC4"/>
    <w:rsid w:val="000D34D3"/>
    <w:rsid w:val="00102F65"/>
    <w:rsid w:val="00147DE2"/>
    <w:rsid w:val="00163B16"/>
    <w:rsid w:val="001659DC"/>
    <w:rsid w:val="00165ED1"/>
    <w:rsid w:val="00181B33"/>
    <w:rsid w:val="001835C8"/>
    <w:rsid w:val="001A444B"/>
    <w:rsid w:val="001B0201"/>
    <w:rsid w:val="001B4070"/>
    <w:rsid w:val="001C352F"/>
    <w:rsid w:val="001C6C9C"/>
    <w:rsid w:val="001D403F"/>
    <w:rsid w:val="001E2BFF"/>
    <w:rsid w:val="001E2D6C"/>
    <w:rsid w:val="001E36C0"/>
    <w:rsid w:val="001E72A6"/>
    <w:rsid w:val="00207B8D"/>
    <w:rsid w:val="00214A1F"/>
    <w:rsid w:val="0022474F"/>
    <w:rsid w:val="0023778B"/>
    <w:rsid w:val="0024425E"/>
    <w:rsid w:val="00262EA6"/>
    <w:rsid w:val="00280271"/>
    <w:rsid w:val="00283D71"/>
    <w:rsid w:val="002942E3"/>
    <w:rsid w:val="002960C0"/>
    <w:rsid w:val="002B39C7"/>
    <w:rsid w:val="002B7D79"/>
    <w:rsid w:val="002C33A1"/>
    <w:rsid w:val="002C7001"/>
    <w:rsid w:val="002E312E"/>
    <w:rsid w:val="002F0442"/>
    <w:rsid w:val="00304472"/>
    <w:rsid w:val="00312A9C"/>
    <w:rsid w:val="00324921"/>
    <w:rsid w:val="00332C97"/>
    <w:rsid w:val="00365A41"/>
    <w:rsid w:val="00370DA1"/>
    <w:rsid w:val="003717E8"/>
    <w:rsid w:val="003861A1"/>
    <w:rsid w:val="00386C68"/>
    <w:rsid w:val="00394150"/>
    <w:rsid w:val="0039586B"/>
    <w:rsid w:val="003B10EE"/>
    <w:rsid w:val="003C1FA2"/>
    <w:rsid w:val="003D05BF"/>
    <w:rsid w:val="003D15AD"/>
    <w:rsid w:val="003D5439"/>
    <w:rsid w:val="003E384A"/>
    <w:rsid w:val="003E4915"/>
    <w:rsid w:val="003F3E5F"/>
    <w:rsid w:val="00411CFE"/>
    <w:rsid w:val="00456C29"/>
    <w:rsid w:val="00463DC9"/>
    <w:rsid w:val="00463DE6"/>
    <w:rsid w:val="0047665C"/>
    <w:rsid w:val="0048491F"/>
    <w:rsid w:val="00495F92"/>
    <w:rsid w:val="004B2494"/>
    <w:rsid w:val="004D5B78"/>
    <w:rsid w:val="004F38FA"/>
    <w:rsid w:val="00502985"/>
    <w:rsid w:val="005133DC"/>
    <w:rsid w:val="00520887"/>
    <w:rsid w:val="00522986"/>
    <w:rsid w:val="00535EA1"/>
    <w:rsid w:val="00552020"/>
    <w:rsid w:val="005603A2"/>
    <w:rsid w:val="00567431"/>
    <w:rsid w:val="0057468B"/>
    <w:rsid w:val="005A7CD4"/>
    <w:rsid w:val="005B5373"/>
    <w:rsid w:val="005C2E75"/>
    <w:rsid w:val="005C61F5"/>
    <w:rsid w:val="005F0DE7"/>
    <w:rsid w:val="005F4C7A"/>
    <w:rsid w:val="0061122D"/>
    <w:rsid w:val="00621172"/>
    <w:rsid w:val="00631BF2"/>
    <w:rsid w:val="00656511"/>
    <w:rsid w:val="00681EA5"/>
    <w:rsid w:val="00684F95"/>
    <w:rsid w:val="00694E42"/>
    <w:rsid w:val="00697F18"/>
    <w:rsid w:val="006A258D"/>
    <w:rsid w:val="006A3D5E"/>
    <w:rsid w:val="006A597F"/>
    <w:rsid w:val="006C219B"/>
    <w:rsid w:val="006D1BE1"/>
    <w:rsid w:val="006D59FB"/>
    <w:rsid w:val="006D72F4"/>
    <w:rsid w:val="006E6B28"/>
    <w:rsid w:val="006F4CA1"/>
    <w:rsid w:val="00700DDD"/>
    <w:rsid w:val="00700F27"/>
    <w:rsid w:val="00702B5B"/>
    <w:rsid w:val="00706A21"/>
    <w:rsid w:val="00710562"/>
    <w:rsid w:val="00711650"/>
    <w:rsid w:val="00713D3F"/>
    <w:rsid w:val="0072118C"/>
    <w:rsid w:val="00724BCB"/>
    <w:rsid w:val="007309A1"/>
    <w:rsid w:val="00732ECA"/>
    <w:rsid w:val="007369C2"/>
    <w:rsid w:val="007621DB"/>
    <w:rsid w:val="00772F3D"/>
    <w:rsid w:val="0077573C"/>
    <w:rsid w:val="0079236D"/>
    <w:rsid w:val="00795BD7"/>
    <w:rsid w:val="007A6C18"/>
    <w:rsid w:val="007B2A19"/>
    <w:rsid w:val="007B70F4"/>
    <w:rsid w:val="007C20B5"/>
    <w:rsid w:val="007E630C"/>
    <w:rsid w:val="008060F8"/>
    <w:rsid w:val="0081287C"/>
    <w:rsid w:val="00813487"/>
    <w:rsid w:val="00822F55"/>
    <w:rsid w:val="008425AC"/>
    <w:rsid w:val="008471D5"/>
    <w:rsid w:val="00860EED"/>
    <w:rsid w:val="0086354F"/>
    <w:rsid w:val="0088055B"/>
    <w:rsid w:val="008938EF"/>
    <w:rsid w:val="008B5931"/>
    <w:rsid w:val="008C34AA"/>
    <w:rsid w:val="008D3147"/>
    <w:rsid w:val="008F16E5"/>
    <w:rsid w:val="009056C5"/>
    <w:rsid w:val="009074EC"/>
    <w:rsid w:val="009136D1"/>
    <w:rsid w:val="0091707A"/>
    <w:rsid w:val="00920B4C"/>
    <w:rsid w:val="00923110"/>
    <w:rsid w:val="00936DF9"/>
    <w:rsid w:val="00940963"/>
    <w:rsid w:val="00947EC5"/>
    <w:rsid w:val="00961429"/>
    <w:rsid w:val="00963040"/>
    <w:rsid w:val="00967160"/>
    <w:rsid w:val="00971070"/>
    <w:rsid w:val="00987137"/>
    <w:rsid w:val="009A0E12"/>
    <w:rsid w:val="009A50E7"/>
    <w:rsid w:val="009B1042"/>
    <w:rsid w:val="009D01CF"/>
    <w:rsid w:val="009F5DAE"/>
    <w:rsid w:val="00A009F8"/>
    <w:rsid w:val="00A31341"/>
    <w:rsid w:val="00A41C75"/>
    <w:rsid w:val="00A43DCB"/>
    <w:rsid w:val="00A445D3"/>
    <w:rsid w:val="00A55C54"/>
    <w:rsid w:val="00AA5858"/>
    <w:rsid w:val="00AB6165"/>
    <w:rsid w:val="00AC6CC6"/>
    <w:rsid w:val="00AE7B03"/>
    <w:rsid w:val="00B00105"/>
    <w:rsid w:val="00B04B93"/>
    <w:rsid w:val="00B120D5"/>
    <w:rsid w:val="00B33A9C"/>
    <w:rsid w:val="00B36F76"/>
    <w:rsid w:val="00B4111B"/>
    <w:rsid w:val="00B42D42"/>
    <w:rsid w:val="00B47EAA"/>
    <w:rsid w:val="00B76B39"/>
    <w:rsid w:val="00BC015A"/>
    <w:rsid w:val="00BD2911"/>
    <w:rsid w:val="00C10676"/>
    <w:rsid w:val="00C4015D"/>
    <w:rsid w:val="00C40435"/>
    <w:rsid w:val="00C43F73"/>
    <w:rsid w:val="00C51D04"/>
    <w:rsid w:val="00C738C4"/>
    <w:rsid w:val="00C90356"/>
    <w:rsid w:val="00C9069B"/>
    <w:rsid w:val="00C92D42"/>
    <w:rsid w:val="00C92FFF"/>
    <w:rsid w:val="00CA57E9"/>
    <w:rsid w:val="00CA79DE"/>
    <w:rsid w:val="00CB58D4"/>
    <w:rsid w:val="00CC5B77"/>
    <w:rsid w:val="00CD7B53"/>
    <w:rsid w:val="00CE0131"/>
    <w:rsid w:val="00CE621D"/>
    <w:rsid w:val="00D35576"/>
    <w:rsid w:val="00D3672D"/>
    <w:rsid w:val="00D65928"/>
    <w:rsid w:val="00D65EC5"/>
    <w:rsid w:val="00D65EDA"/>
    <w:rsid w:val="00D67BC3"/>
    <w:rsid w:val="00D67CFC"/>
    <w:rsid w:val="00DA5082"/>
    <w:rsid w:val="00DD1136"/>
    <w:rsid w:val="00DD595E"/>
    <w:rsid w:val="00DF0B8F"/>
    <w:rsid w:val="00DF70F3"/>
    <w:rsid w:val="00E407AE"/>
    <w:rsid w:val="00E45BB2"/>
    <w:rsid w:val="00E46A2F"/>
    <w:rsid w:val="00E7753B"/>
    <w:rsid w:val="00E86845"/>
    <w:rsid w:val="00E9557F"/>
    <w:rsid w:val="00ED16BC"/>
    <w:rsid w:val="00EE4E20"/>
    <w:rsid w:val="00EE5FF2"/>
    <w:rsid w:val="00EE72E9"/>
    <w:rsid w:val="00EF1DBF"/>
    <w:rsid w:val="00F07EC1"/>
    <w:rsid w:val="00F10A50"/>
    <w:rsid w:val="00F143B6"/>
    <w:rsid w:val="00F21401"/>
    <w:rsid w:val="00F31A6F"/>
    <w:rsid w:val="00F3539F"/>
    <w:rsid w:val="00F35B84"/>
    <w:rsid w:val="00F46A0B"/>
    <w:rsid w:val="00F50B43"/>
    <w:rsid w:val="00F55704"/>
    <w:rsid w:val="00F667F4"/>
    <w:rsid w:val="00F901AB"/>
    <w:rsid w:val="00F94139"/>
    <w:rsid w:val="00F95364"/>
    <w:rsid w:val="00FA2562"/>
    <w:rsid w:val="00FC1941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365A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EC8BD3-9620-4DEA-8033-3417B6A7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69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34</cp:revision>
  <dcterms:created xsi:type="dcterms:W3CDTF">2019-07-03T12:33:00Z</dcterms:created>
  <dcterms:modified xsi:type="dcterms:W3CDTF">2019-07-13T14:59:00Z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