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25CE" w:rsidP="004D25CE" w:rsidRDefault="004D25CE" w14:paraId="61E89611" w14:textId="43F59970">
      <w:pPr>
        <w:pStyle w:val="ListParagraph"/>
        <w:jc w:val="center"/>
        <w:rPr>
          <w:b w:val="1"/>
          <w:bCs w:val="1"/>
          <w:sz w:val="28"/>
          <w:szCs w:val="28"/>
        </w:rPr>
      </w:pPr>
      <w:r w:rsidRPr="264A7835" w:rsidR="004D25CE">
        <w:rPr>
          <w:b w:val="1"/>
          <w:bCs w:val="1"/>
          <w:sz w:val="28"/>
          <w:szCs w:val="28"/>
        </w:rPr>
        <w:t>Activity E</w:t>
      </w:r>
    </w:p>
    <w:p w:rsidR="004D25CE" w:rsidP="004D25CE" w:rsidRDefault="004D25CE" w14:paraId="4F9FF3A2" w14:textId="28F0AD0C">
      <w:pPr>
        <w:pStyle w:val="ListParagraph"/>
        <w:jc w:val="center"/>
        <w:rPr>
          <w:b/>
          <w:bCs/>
          <w:sz w:val="28"/>
          <w:szCs w:val="28"/>
        </w:rPr>
      </w:pPr>
      <w:r>
        <w:rPr>
          <w:b/>
          <w:bCs/>
          <w:sz w:val="28"/>
          <w:szCs w:val="28"/>
        </w:rPr>
        <w:t>Becoming familiar with administrative forms used in OCV Campaigns</w:t>
      </w:r>
    </w:p>
    <w:p w:rsidR="004D25CE" w:rsidP="004D25CE" w:rsidRDefault="004D25CE" w14:paraId="117C29F7" w14:textId="77777777">
      <w:pPr>
        <w:pStyle w:val="ListParagraph"/>
        <w:rPr>
          <w:b/>
          <w:bCs/>
          <w:sz w:val="28"/>
          <w:szCs w:val="28"/>
        </w:rPr>
      </w:pPr>
    </w:p>
    <w:p w:rsidRPr="004E4EA9" w:rsidR="004E4EA9" w:rsidP="004D25CE" w:rsidRDefault="004E4EA9" w14:paraId="48468689" w14:textId="0050E03D">
      <w:pPr>
        <w:pStyle w:val="ListParagraph"/>
        <w:rPr>
          <w:sz w:val="24"/>
          <w:szCs w:val="24"/>
        </w:rPr>
      </w:pPr>
      <w:r>
        <w:rPr>
          <w:b/>
          <w:bCs/>
          <w:sz w:val="24"/>
          <w:szCs w:val="24"/>
        </w:rPr>
        <w:t xml:space="preserve">Objective: </w:t>
      </w:r>
      <w:r w:rsidRPr="004E4EA9">
        <w:rPr>
          <w:sz w:val="24"/>
          <w:szCs w:val="24"/>
        </w:rPr>
        <w:t>To familiarize and give practice to volunteers in</w:t>
      </w:r>
      <w:r>
        <w:rPr>
          <w:sz w:val="24"/>
          <w:szCs w:val="24"/>
        </w:rPr>
        <w:t xml:space="preserve"> </w:t>
      </w:r>
      <w:r w:rsidRPr="004E4EA9">
        <w:rPr>
          <w:sz w:val="24"/>
          <w:szCs w:val="24"/>
        </w:rPr>
        <w:t>filling out the various administrative forms which may be used in an OCV campaign</w:t>
      </w:r>
      <w:r>
        <w:rPr>
          <w:sz w:val="24"/>
          <w:szCs w:val="24"/>
        </w:rPr>
        <w:t xml:space="preserve"> as well as understanding when and why the forms are used.</w:t>
      </w:r>
    </w:p>
    <w:p w:rsidR="004D25CE" w:rsidP="004D25CE" w:rsidRDefault="004D25CE" w14:paraId="39C35803" w14:textId="394FDFB9">
      <w:pPr>
        <w:pStyle w:val="ListParagraph"/>
        <w:rPr>
          <w:sz w:val="24"/>
          <w:szCs w:val="24"/>
        </w:rPr>
      </w:pPr>
      <w:r w:rsidRPr="004D25CE">
        <w:rPr>
          <w:b/>
          <w:bCs/>
          <w:sz w:val="24"/>
          <w:szCs w:val="24"/>
        </w:rPr>
        <w:t xml:space="preserve">Time required: </w:t>
      </w:r>
      <w:r w:rsidRPr="004D25CE">
        <w:rPr>
          <w:sz w:val="24"/>
          <w:szCs w:val="24"/>
        </w:rPr>
        <w:t>40 minutes</w:t>
      </w:r>
    </w:p>
    <w:p w:rsidR="004D25CE" w:rsidP="004D25CE" w:rsidRDefault="004D25CE" w14:paraId="3A733AF2" w14:textId="5E8DD1DE">
      <w:pPr>
        <w:pStyle w:val="ListParagraph"/>
        <w:rPr>
          <w:sz w:val="24"/>
          <w:szCs w:val="24"/>
        </w:rPr>
      </w:pPr>
      <w:r>
        <w:rPr>
          <w:b/>
          <w:bCs/>
          <w:sz w:val="24"/>
          <w:szCs w:val="24"/>
        </w:rPr>
        <w:t>Preparation:</w:t>
      </w:r>
      <w:r w:rsidR="00117AE5">
        <w:rPr>
          <w:b/>
          <w:bCs/>
          <w:sz w:val="24"/>
          <w:szCs w:val="24"/>
        </w:rPr>
        <w:t xml:space="preserve"> </w:t>
      </w:r>
      <w:r w:rsidR="00117AE5">
        <w:rPr>
          <w:sz w:val="24"/>
          <w:szCs w:val="24"/>
        </w:rPr>
        <w:t xml:space="preserve">two or three </w:t>
      </w:r>
      <w:r w:rsidRPr="00117AE5" w:rsidR="00117AE5">
        <w:rPr>
          <w:sz w:val="24"/>
          <w:szCs w:val="24"/>
        </w:rPr>
        <w:t>filled in sample</w:t>
      </w:r>
      <w:r w:rsidR="00117AE5">
        <w:rPr>
          <w:sz w:val="24"/>
          <w:szCs w:val="24"/>
        </w:rPr>
        <w:t>s</w:t>
      </w:r>
      <w:r w:rsidRPr="00117AE5" w:rsidR="00117AE5">
        <w:rPr>
          <w:sz w:val="24"/>
          <w:szCs w:val="24"/>
        </w:rPr>
        <w:t xml:space="preserve"> of each form</w:t>
      </w:r>
      <w:r w:rsidR="00117AE5">
        <w:rPr>
          <w:sz w:val="24"/>
          <w:szCs w:val="24"/>
        </w:rPr>
        <w:t xml:space="preserve"> for volunteers to refer to; blank copies of each form for each volunteer; cue card</w:t>
      </w:r>
      <w:r w:rsidR="00094F9C">
        <w:rPr>
          <w:sz w:val="24"/>
          <w:szCs w:val="24"/>
        </w:rPr>
        <w:t>s</w:t>
      </w:r>
      <w:r w:rsidR="00117AE5">
        <w:rPr>
          <w:sz w:val="24"/>
          <w:szCs w:val="24"/>
        </w:rPr>
        <w:t xml:space="preserve"> to be read </w:t>
      </w:r>
      <w:r w:rsidR="00094F9C">
        <w:rPr>
          <w:sz w:val="24"/>
          <w:szCs w:val="24"/>
        </w:rPr>
        <w:t xml:space="preserve">or ‘play acted’ </w:t>
      </w:r>
      <w:r w:rsidR="00117AE5">
        <w:rPr>
          <w:sz w:val="24"/>
          <w:szCs w:val="24"/>
        </w:rPr>
        <w:t xml:space="preserve">by </w:t>
      </w:r>
      <w:r w:rsidR="00094F9C">
        <w:rPr>
          <w:sz w:val="24"/>
          <w:szCs w:val="24"/>
        </w:rPr>
        <w:t xml:space="preserve">an </w:t>
      </w:r>
      <w:r w:rsidR="00117AE5">
        <w:rPr>
          <w:sz w:val="24"/>
          <w:szCs w:val="24"/>
        </w:rPr>
        <w:t>instructor</w:t>
      </w:r>
      <w:r w:rsidR="00094F9C">
        <w:rPr>
          <w:sz w:val="24"/>
          <w:szCs w:val="24"/>
        </w:rPr>
        <w:t>.</w:t>
      </w:r>
      <w:r w:rsidR="004E4EA9">
        <w:rPr>
          <w:sz w:val="24"/>
          <w:szCs w:val="24"/>
        </w:rPr>
        <w:t xml:space="preserve"> Concentrate on the OCV card, the tally sheet, the AEFI form and the Vaccine coverage form.</w:t>
      </w:r>
      <w:r w:rsidR="003644C8">
        <w:rPr>
          <w:sz w:val="24"/>
          <w:szCs w:val="24"/>
        </w:rPr>
        <w:t xml:space="preserve"> It is a good idea for facilitators to have a read of the protocols before the training.</w:t>
      </w:r>
    </w:p>
    <w:p w:rsidR="003644C8" w:rsidP="004D25CE" w:rsidRDefault="003644C8" w14:paraId="38B65340" w14:textId="7E6324FB">
      <w:pPr>
        <w:pStyle w:val="ListParagraph"/>
        <w:rPr>
          <w:sz w:val="24"/>
          <w:szCs w:val="24"/>
        </w:rPr>
      </w:pPr>
      <w:r>
        <w:rPr>
          <w:sz w:val="24"/>
          <w:szCs w:val="24"/>
        </w:rPr>
        <w:t xml:space="preserve">Suggested </w:t>
      </w:r>
      <w:r w:rsidRPr="003644C8">
        <w:rPr>
          <w:sz w:val="24"/>
          <w:szCs w:val="24"/>
        </w:rPr>
        <w:t xml:space="preserve">pages of documents </w:t>
      </w:r>
      <w:r>
        <w:rPr>
          <w:sz w:val="24"/>
          <w:szCs w:val="24"/>
        </w:rPr>
        <w:t xml:space="preserve">for printing </w:t>
      </w:r>
      <w:r w:rsidRPr="003644C8">
        <w:rPr>
          <w:sz w:val="24"/>
          <w:szCs w:val="24"/>
        </w:rPr>
        <w:t>are:</w:t>
      </w:r>
    </w:p>
    <w:p w:rsidRPr="003644C8" w:rsidR="003644C8" w:rsidP="004D25CE" w:rsidRDefault="003644C8" w14:paraId="29FED51D" w14:textId="3C8EBCC7">
      <w:pPr>
        <w:pStyle w:val="ListParagraph"/>
        <w:rPr>
          <w:color w:val="FF0000"/>
          <w:sz w:val="24"/>
          <w:szCs w:val="24"/>
        </w:rPr>
      </w:pPr>
      <w:r w:rsidRPr="003644C8">
        <w:rPr>
          <w:color w:val="FF0000"/>
          <w:sz w:val="24"/>
          <w:szCs w:val="24"/>
        </w:rPr>
        <w:t>AEFI protocol - pages 6, 7,11 and 12</w:t>
      </w:r>
    </w:p>
    <w:p w:rsidRPr="003644C8" w:rsidR="003644C8" w:rsidP="004D25CE" w:rsidRDefault="003644C8" w14:paraId="366B176B" w14:textId="31A02D25">
      <w:pPr>
        <w:pStyle w:val="ListParagraph"/>
        <w:rPr>
          <w:color w:val="FF0000"/>
          <w:sz w:val="24"/>
          <w:szCs w:val="24"/>
        </w:rPr>
      </w:pPr>
      <w:r w:rsidRPr="003644C8">
        <w:rPr>
          <w:color w:val="FF0000"/>
          <w:sz w:val="24"/>
          <w:szCs w:val="24"/>
        </w:rPr>
        <w:t>Vaccine Coverage Protocol – pages 7,8,15 and 16</w:t>
      </w:r>
    </w:p>
    <w:p w:rsidRPr="004D25CE" w:rsidR="004D25CE" w:rsidP="004D25CE" w:rsidRDefault="004D25CE" w14:paraId="4CD220CF" w14:textId="43CD0440">
      <w:pPr>
        <w:pStyle w:val="ListParagraph"/>
        <w:rPr>
          <w:b/>
          <w:bCs/>
          <w:sz w:val="24"/>
          <w:szCs w:val="24"/>
        </w:rPr>
      </w:pPr>
      <w:r>
        <w:rPr>
          <w:b/>
          <w:bCs/>
          <w:sz w:val="24"/>
          <w:szCs w:val="24"/>
        </w:rPr>
        <w:t>Takeaway:</w:t>
      </w:r>
      <w:r w:rsidR="00094F9C">
        <w:rPr>
          <w:b/>
          <w:bCs/>
          <w:sz w:val="24"/>
          <w:szCs w:val="24"/>
        </w:rPr>
        <w:t xml:space="preserve"> </w:t>
      </w:r>
      <w:r w:rsidRPr="00094F9C" w:rsidR="00094F9C">
        <w:rPr>
          <w:sz w:val="24"/>
          <w:szCs w:val="24"/>
        </w:rPr>
        <w:t>Volunteers will take away the forms they have had a go at filling in and have gone through with the instructor</w:t>
      </w:r>
      <w:r w:rsidR="00094F9C">
        <w:rPr>
          <w:sz w:val="24"/>
          <w:szCs w:val="24"/>
        </w:rPr>
        <w:t xml:space="preserve"> – the volunteer noting mistakes</w:t>
      </w:r>
      <w:r w:rsidRPr="00094F9C" w:rsidR="00094F9C">
        <w:rPr>
          <w:sz w:val="24"/>
          <w:szCs w:val="24"/>
        </w:rPr>
        <w:t>.</w:t>
      </w:r>
      <w:r w:rsidR="00094F9C">
        <w:rPr>
          <w:sz w:val="24"/>
          <w:szCs w:val="24"/>
        </w:rPr>
        <w:t xml:space="preserve"> If the attempt to fill in a form has not gone well with a volunteer, they might take one of the samples.</w:t>
      </w:r>
    </w:p>
    <w:p w:rsidRPr="00094F9C" w:rsidR="00094F9C" w:rsidP="004D25CE" w:rsidRDefault="00094F9C" w14:paraId="582934B6" w14:textId="2A449D8A">
      <w:pPr>
        <w:ind w:left="360"/>
        <w:rPr>
          <w:b/>
          <w:bCs/>
          <w:sz w:val="24"/>
          <w:szCs w:val="24"/>
        </w:rPr>
      </w:pPr>
      <w:r w:rsidRPr="00094F9C">
        <w:rPr>
          <w:b/>
          <w:bCs/>
          <w:sz w:val="24"/>
          <w:szCs w:val="24"/>
        </w:rPr>
        <w:t>Rationale</w:t>
      </w:r>
    </w:p>
    <w:p w:rsidR="004D25CE" w:rsidP="004D25CE" w:rsidRDefault="004D25CE" w14:paraId="465279E6" w14:textId="2B28D2BC">
      <w:pPr>
        <w:ind w:left="360"/>
        <w:rPr>
          <w:sz w:val="24"/>
          <w:szCs w:val="24"/>
        </w:rPr>
      </w:pPr>
      <w:r>
        <w:rPr>
          <w:sz w:val="24"/>
          <w:szCs w:val="24"/>
        </w:rPr>
        <w:t xml:space="preserve">The success of an OCV campaign depends on efficient administration at all stages and this involves volunteers and staff being familiar with the various documents they may have to fill out as part of the duty station they are assigned to. </w:t>
      </w:r>
    </w:p>
    <w:p w:rsidR="004D25CE" w:rsidP="004D25CE" w:rsidRDefault="004D25CE" w14:paraId="651B438B" w14:textId="77777777">
      <w:pPr>
        <w:ind w:left="360"/>
        <w:rPr>
          <w:sz w:val="24"/>
          <w:szCs w:val="24"/>
        </w:rPr>
      </w:pPr>
      <w:r>
        <w:rPr>
          <w:sz w:val="24"/>
          <w:szCs w:val="24"/>
        </w:rPr>
        <w:t>This activity aims to make the trainee aware of the different documents, their purpose and when they might be used. Some are very simple, others more complex. For each document there will be several blank versions and a reference which has been filled in. The trainees will look at the reference documents to get an idea of how to fill the document and will then be given a form to fill with a ‘case’ description.</w:t>
      </w:r>
    </w:p>
    <w:p w:rsidR="004D25CE" w:rsidP="004D25CE" w:rsidRDefault="004D25CE" w14:paraId="61FB2747" w14:textId="77777777">
      <w:pPr>
        <w:ind w:left="360"/>
        <w:rPr>
          <w:sz w:val="24"/>
          <w:szCs w:val="24"/>
        </w:rPr>
      </w:pPr>
      <w:r>
        <w:rPr>
          <w:sz w:val="24"/>
          <w:szCs w:val="24"/>
        </w:rPr>
        <w:t>Each trainee should have a go at filling out each type of form with the trainer observing and advising. They should have a clear idea of the purpose of the form.</w:t>
      </w:r>
    </w:p>
    <w:p w:rsidR="004D25CE" w:rsidP="004D25CE" w:rsidRDefault="004D25CE" w14:paraId="7B1EAB53" w14:textId="77777777">
      <w:pPr>
        <w:ind w:left="360"/>
        <w:rPr>
          <w:sz w:val="24"/>
          <w:szCs w:val="24"/>
        </w:rPr>
      </w:pPr>
      <w:r>
        <w:rPr>
          <w:sz w:val="24"/>
          <w:szCs w:val="24"/>
        </w:rPr>
        <w:t>The key forms included in this activity are:</w:t>
      </w:r>
    </w:p>
    <w:p w:rsidRPr="003768D9" w:rsidR="004D25CE" w:rsidP="004D25CE" w:rsidRDefault="004D25CE" w14:paraId="629F9BDE" w14:textId="08B687B4">
      <w:pPr>
        <w:ind w:left="360"/>
        <w:rPr>
          <w:b w:val="1"/>
          <w:bCs w:val="1"/>
          <w:sz w:val="24"/>
          <w:szCs w:val="24"/>
        </w:rPr>
      </w:pPr>
      <w:r w:rsidRPr="2609864A" w:rsidR="2609864A">
        <w:rPr>
          <w:b w:val="1"/>
          <w:bCs w:val="1"/>
          <w:sz w:val="24"/>
          <w:szCs w:val="24"/>
        </w:rPr>
        <w:t xml:space="preserve">Pre-campaign: </w:t>
      </w:r>
      <w:r w:rsidRPr="2609864A" w:rsidR="2609864A">
        <w:rPr>
          <w:b w:val="0"/>
          <w:bCs w:val="0"/>
          <w:sz w:val="24"/>
          <w:szCs w:val="24"/>
        </w:rPr>
        <w:t>Acceptance Survey</w:t>
      </w:r>
    </w:p>
    <w:p w:rsidRPr="003768D9" w:rsidR="004D25CE" w:rsidP="2609864A" w:rsidRDefault="004D25CE" w14:paraId="5AA04605" w14:textId="445FBDAB">
      <w:pPr>
        <w:ind w:left="360"/>
        <w:rPr>
          <w:b w:val="1"/>
          <w:bCs w:val="1"/>
          <w:color w:val="FF0000"/>
          <w:sz w:val="24"/>
          <w:szCs w:val="24"/>
        </w:rPr>
      </w:pPr>
      <w:r w:rsidRPr="2609864A" w:rsidR="2609864A">
        <w:rPr>
          <w:b w:val="1"/>
          <w:bCs w:val="1"/>
          <w:sz w:val="24"/>
          <w:szCs w:val="24"/>
        </w:rPr>
        <w:t>During campaign</w:t>
      </w:r>
      <w:r w:rsidRPr="2609864A" w:rsidR="2609864A">
        <w:rPr>
          <w:b w:val="1"/>
          <w:bCs w:val="1"/>
          <w:sz w:val="24"/>
          <w:szCs w:val="24"/>
        </w:rPr>
        <w:t xml:space="preserve">: </w:t>
      </w:r>
      <w:r w:rsidRPr="2609864A" w:rsidR="2609864A">
        <w:rPr>
          <w:sz w:val="24"/>
          <w:szCs w:val="24"/>
        </w:rPr>
        <w:t>Tally sheet</w:t>
      </w:r>
      <w:r w:rsidRPr="2609864A" w:rsidR="2609864A">
        <w:rPr>
          <w:b w:val="1"/>
          <w:bCs w:val="1"/>
          <w:sz w:val="24"/>
          <w:szCs w:val="24"/>
        </w:rPr>
        <w:t xml:space="preserve">; </w:t>
      </w:r>
      <w:r w:rsidRPr="2609864A" w:rsidR="2609864A">
        <w:rPr>
          <w:sz w:val="24"/>
          <w:szCs w:val="24"/>
        </w:rPr>
        <w:t>OCV card</w:t>
      </w:r>
      <w:r w:rsidRPr="2609864A" w:rsidR="2609864A">
        <w:rPr>
          <w:sz w:val="24"/>
          <w:szCs w:val="24"/>
        </w:rPr>
        <w:t xml:space="preserve">; </w:t>
      </w:r>
      <w:r w:rsidRPr="2609864A" w:rsidR="2609864A">
        <w:rPr>
          <w:color w:val="FF0000"/>
          <w:sz w:val="24"/>
          <w:szCs w:val="24"/>
        </w:rPr>
        <w:t xml:space="preserve">Adverse Event Following Immunization </w:t>
      </w:r>
      <w:r w:rsidRPr="2609864A" w:rsidR="2609864A">
        <w:rPr>
          <w:color w:val="FF0000"/>
          <w:sz w:val="24"/>
          <w:szCs w:val="24"/>
        </w:rPr>
        <w:t>AEFI</w:t>
      </w:r>
      <w:r w:rsidRPr="2609864A" w:rsidR="2609864A">
        <w:rPr>
          <w:color w:val="FF0000"/>
          <w:sz w:val="24"/>
          <w:szCs w:val="24"/>
        </w:rPr>
        <w:t>;</w:t>
      </w:r>
    </w:p>
    <w:p w:rsidR="004D25CE" w:rsidP="003768D9" w:rsidRDefault="004D25CE" w14:paraId="5C275356" w14:textId="27FC346C">
      <w:pPr>
        <w:ind w:left="360"/>
        <w:rPr>
          <w:sz w:val="24"/>
          <w:szCs w:val="24"/>
        </w:rPr>
      </w:pPr>
      <w:r w:rsidRPr="2609864A" w:rsidR="2609864A">
        <w:rPr>
          <w:b w:val="1"/>
          <w:bCs w:val="1"/>
          <w:sz w:val="24"/>
          <w:szCs w:val="24"/>
        </w:rPr>
        <w:t>Post campaign</w:t>
      </w:r>
      <w:r w:rsidRPr="2609864A" w:rsidR="2609864A">
        <w:rPr>
          <w:b w:val="1"/>
          <w:bCs w:val="1"/>
          <w:sz w:val="24"/>
          <w:szCs w:val="24"/>
        </w:rPr>
        <w:t xml:space="preserve">: </w:t>
      </w:r>
      <w:r w:rsidRPr="2609864A" w:rsidR="2609864A">
        <w:rPr>
          <w:sz w:val="24"/>
          <w:szCs w:val="24"/>
        </w:rPr>
        <w:t>d</w:t>
      </w:r>
      <w:r w:rsidRPr="2609864A" w:rsidR="2609864A">
        <w:rPr>
          <w:sz w:val="24"/>
          <w:szCs w:val="24"/>
        </w:rPr>
        <w:t>ocuments linked to vaccine coverage protocol</w:t>
      </w:r>
      <w:r w:rsidRPr="2609864A" w:rsidR="2609864A">
        <w:rPr>
          <w:b w:val="1"/>
          <w:bCs w:val="1"/>
          <w:sz w:val="24"/>
          <w:szCs w:val="24"/>
        </w:rPr>
        <w:t xml:space="preserve">; </w:t>
      </w:r>
      <w:r w:rsidRPr="2609864A" w:rsidR="2609864A">
        <w:rPr>
          <w:color w:val="FF0000"/>
          <w:sz w:val="24"/>
          <w:szCs w:val="24"/>
        </w:rPr>
        <w:t>d</w:t>
      </w:r>
      <w:r w:rsidRPr="2609864A" w:rsidR="2609864A">
        <w:rPr>
          <w:color w:val="FF0000"/>
          <w:sz w:val="24"/>
          <w:szCs w:val="24"/>
        </w:rPr>
        <w:t>ocuments linked to vaccine effectiveness protocol</w:t>
      </w:r>
      <w:r w:rsidRPr="2609864A" w:rsidR="2609864A">
        <w:rPr>
          <w:sz w:val="24"/>
          <w:szCs w:val="24"/>
        </w:rPr>
        <w:t>.</w:t>
      </w:r>
    </w:p>
    <w:p w:rsidR="003768D9" w:rsidP="003768D9" w:rsidRDefault="003768D9" w14:paraId="1173CAE9" w14:textId="223BFE8D">
      <w:pPr>
        <w:ind w:left="360"/>
        <w:rPr>
          <w:b/>
          <w:bCs/>
          <w:sz w:val="24"/>
          <w:szCs w:val="24"/>
        </w:rPr>
      </w:pPr>
    </w:p>
    <w:p w:rsidR="003768D9" w:rsidP="003768D9" w:rsidRDefault="003768D9" w14:paraId="72A119A6" w14:textId="6209263D">
      <w:pPr>
        <w:ind w:left="360"/>
        <w:rPr>
          <w:b/>
          <w:bCs/>
          <w:sz w:val="24"/>
          <w:szCs w:val="24"/>
        </w:rPr>
      </w:pPr>
      <w:r>
        <w:rPr>
          <w:b/>
          <w:bCs/>
          <w:sz w:val="24"/>
          <w:szCs w:val="24"/>
        </w:rPr>
        <w:lastRenderedPageBreak/>
        <w:t>Set-up</w:t>
      </w:r>
    </w:p>
    <w:p w:rsidR="003768D9" w:rsidP="003768D9" w:rsidRDefault="002252A1" w14:paraId="140CE5B4" w14:textId="3CF19BBD">
      <w:pPr>
        <w:ind w:left="360"/>
        <w:rPr>
          <w:sz w:val="24"/>
          <w:szCs w:val="24"/>
        </w:rPr>
      </w:pPr>
      <w:r>
        <w:rPr>
          <w:sz w:val="24"/>
          <w:szCs w:val="24"/>
        </w:rPr>
        <w:t xml:space="preserve">10’ </w:t>
      </w:r>
      <w:r w:rsidRPr="002252A1">
        <w:rPr>
          <w:sz w:val="24"/>
          <w:szCs w:val="24"/>
        </w:rPr>
        <w:t>Quickly present the different forms and what their purpose is</w:t>
      </w:r>
    </w:p>
    <w:p w:rsidR="002252A1" w:rsidP="003768D9" w:rsidRDefault="00625A01" w14:paraId="7D9EA616" w14:textId="490C82DF">
      <w:pPr>
        <w:ind w:left="360"/>
        <w:rPr>
          <w:sz w:val="24"/>
          <w:szCs w:val="24"/>
        </w:rPr>
      </w:pPr>
      <w:r>
        <w:rPr>
          <w:sz w:val="24"/>
          <w:szCs w:val="24"/>
        </w:rPr>
        <w:t>10</w:t>
      </w:r>
      <w:r w:rsidR="002252A1">
        <w:rPr>
          <w:sz w:val="24"/>
          <w:szCs w:val="24"/>
        </w:rPr>
        <w:t xml:space="preserve">’ </w:t>
      </w:r>
      <w:r>
        <w:rPr>
          <w:sz w:val="24"/>
          <w:szCs w:val="24"/>
        </w:rPr>
        <w:t>Show how to fill out the tally sheet and OCV card and have the participant fill out their own.</w:t>
      </w:r>
    </w:p>
    <w:p w:rsidRPr="002252A1" w:rsidR="00625A01" w:rsidP="003768D9" w:rsidRDefault="00625A01" w14:paraId="06E730EB" w14:textId="1097A00C">
      <w:pPr>
        <w:ind w:left="360"/>
        <w:rPr>
          <w:sz w:val="24"/>
          <w:szCs w:val="24"/>
        </w:rPr>
      </w:pPr>
      <w:r w:rsidRPr="2609864A" w:rsidR="2609864A">
        <w:rPr>
          <w:sz w:val="24"/>
          <w:szCs w:val="24"/>
        </w:rPr>
        <w:t>20’ concentrate on vaccine acceptance and vaccine coverage surveys. Read out from cue card and get them to fill in, but they ask if they are not sure about something.</w:t>
      </w:r>
    </w:p>
    <w:p w:rsidR="00C976CF" w:rsidRDefault="00C976CF" w14:paraId="1EB282C8" w14:textId="77777777"/>
    <w:sectPr w:rsidR="00C976CF">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5D4F" w:rsidP="004D25CE" w:rsidRDefault="005F5D4F" w14:paraId="2E0398F7" w14:textId="77777777">
      <w:pPr>
        <w:spacing w:after="0" w:line="240" w:lineRule="auto"/>
      </w:pPr>
      <w:r>
        <w:separator/>
      </w:r>
    </w:p>
  </w:endnote>
  <w:endnote w:type="continuationSeparator" w:id="0">
    <w:p w:rsidR="005F5D4F" w:rsidP="004D25CE" w:rsidRDefault="005F5D4F" w14:paraId="114F484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45DF73AE" w14:textId="7F810F1C">
    <w:pPr>
      <w:pStyle w:val="Footer"/>
    </w:pPr>
    <w:r>
      <w:rPr>
        <w:noProof/>
      </w:rPr>
      <mc:AlternateContent>
        <mc:Choice Requires="wps">
          <w:drawing>
            <wp:anchor distT="0" distB="0" distL="0" distR="0" simplePos="0" relativeHeight="251659264" behindDoc="0" locked="0" layoutInCell="1" allowOverlap="1" wp14:anchorId="152D92CB" wp14:editId="5B73DDAA">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52D92CB">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4D25CE" w:rsidR="004D25CE" w:rsidRDefault="004D25CE" w14:paraId="73BD2E14" w14:textId="3B9D9EC4">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6384E831" w14:textId="6555164D">
    <w:pPr>
      <w:pStyle w:val="Footer"/>
    </w:pPr>
    <w:r>
      <w:rPr>
        <w:noProof/>
      </w:rPr>
      <mc:AlternateContent>
        <mc:Choice Requires="wps">
          <w:drawing>
            <wp:anchor distT="0" distB="0" distL="0" distR="0" simplePos="0" relativeHeight="251660288" behindDoc="0" locked="0" layoutInCell="1" allowOverlap="1" wp14:anchorId="0C45784B" wp14:editId="01E1B59B">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0C45784B">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4D25CE" w:rsidR="004D25CE" w:rsidRDefault="004D25CE" w14:paraId="03D0A17F" w14:textId="75D03C35">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D25CE" w:rsidRDefault="004D25CE" w14:paraId="0D0D249E" w14:textId="0A6D53A2">
    <w:pPr>
      <w:pStyle w:val="Footer"/>
    </w:pPr>
    <w:r>
      <w:rPr>
        <w:noProof/>
      </w:rPr>
      <mc:AlternateContent>
        <mc:Choice Requires="wps">
          <w:drawing>
            <wp:anchor distT="0" distB="0" distL="0" distR="0" simplePos="0" relativeHeight="251658240" behindDoc="0" locked="0" layoutInCell="1" allowOverlap="1" wp14:anchorId="1F2E1C4F" wp14:editId="03A166E2">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F2E1C4F">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4D25CE" w:rsidR="004D25CE" w:rsidRDefault="004D25CE" w14:paraId="076084A9" w14:textId="1CCDF28E">
                    <w:pPr>
                      <w:rPr>
                        <w:rFonts w:ascii="Calibri" w:hAnsi="Calibri" w:eastAsia="Calibri" w:cs="Calibri"/>
                        <w:color w:val="000000"/>
                        <w:sz w:val="20"/>
                        <w:szCs w:val="20"/>
                      </w:rPr>
                    </w:pPr>
                    <w:r w:rsidRPr="004D25CE">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5D4F" w:rsidP="004D25CE" w:rsidRDefault="005F5D4F" w14:paraId="76920445" w14:textId="77777777">
      <w:pPr>
        <w:spacing w:after="0" w:line="240" w:lineRule="auto"/>
      </w:pPr>
      <w:r>
        <w:separator/>
      </w:r>
    </w:p>
  </w:footnote>
  <w:footnote w:type="continuationSeparator" w:id="0">
    <w:p w:rsidR="005F5D4F" w:rsidP="004D25CE" w:rsidRDefault="005F5D4F" w14:paraId="4729B50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6EF85DE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11F43DF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25CE" w:rsidRDefault="004D25CE" w14:paraId="4CC4EA5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5CE"/>
    <w:rsid w:val="00094F9C"/>
    <w:rsid w:val="00117AE5"/>
    <w:rsid w:val="00167E77"/>
    <w:rsid w:val="002252A1"/>
    <w:rsid w:val="002E7F0E"/>
    <w:rsid w:val="003644C8"/>
    <w:rsid w:val="003768D9"/>
    <w:rsid w:val="004D25CE"/>
    <w:rsid w:val="004E4EA9"/>
    <w:rsid w:val="005F5D4F"/>
    <w:rsid w:val="00625A01"/>
    <w:rsid w:val="008C4DF0"/>
    <w:rsid w:val="00A35917"/>
    <w:rsid w:val="00C976CF"/>
    <w:rsid w:val="2609864A"/>
    <w:rsid w:val="264A7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4DB93"/>
  <w15:chartTrackingRefBased/>
  <w15:docId w15:val="{78A7CAB8-3E0C-4220-B435-D78DAC3C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25C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D25CE"/>
    <w:pPr>
      <w:ind w:left="720"/>
      <w:contextualSpacing/>
    </w:pPr>
  </w:style>
  <w:style w:type="paragraph" w:styleId="Header">
    <w:name w:val="header"/>
    <w:basedOn w:val="Normal"/>
    <w:link w:val="HeaderChar"/>
    <w:uiPriority w:val="99"/>
    <w:unhideWhenUsed/>
    <w:rsid w:val="004D25C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D25CE"/>
  </w:style>
  <w:style w:type="paragraph" w:styleId="Footer">
    <w:name w:val="footer"/>
    <w:basedOn w:val="Normal"/>
    <w:link w:val="FooterChar"/>
    <w:uiPriority w:val="99"/>
    <w:unhideWhenUsed/>
    <w:rsid w:val="004D25C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D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EFDFD7-0E6C-4C80-AED1-59B95A0075E3}"/>
</file>

<file path=customXml/itemProps2.xml><?xml version="1.0" encoding="utf-8"?>
<ds:datastoreItem xmlns:ds="http://schemas.openxmlformats.org/officeDocument/2006/customXml" ds:itemID="{37860CD8-A0A4-42C2-8505-E171088BA219}"/>
</file>

<file path=customXml/itemProps3.xml><?xml version="1.0" encoding="utf-8"?>
<ds:datastoreItem xmlns:ds="http://schemas.openxmlformats.org/officeDocument/2006/customXml" ds:itemID="{AD412E11-9F06-4CA1-8811-9DC1871520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Guest User</cp:lastModifiedBy>
  <cp:revision>5</cp:revision>
  <dcterms:created xsi:type="dcterms:W3CDTF">2022-03-28T12:55:00Z</dcterms:created>
  <dcterms:modified xsi:type="dcterms:W3CDTF">2022-05-18T10:21:25Z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2022-03-26T07:12:29Z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ec12bdb6-ea81-4bbc-b3de-c49db17a954b</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