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26147" w14:textId="77777777" w:rsidR="009B567D" w:rsidRPr="003A6CA9" w:rsidRDefault="00F94139" w:rsidP="009B567D">
      <w:pPr>
        <w:rPr>
          <w:color w:val="FF0000"/>
        </w:rPr>
      </w:pPr>
      <w:bookmarkStart w:id="0" w:name="_GoBack"/>
      <w:bookmarkEnd w:id="0"/>
      <w:r w:rsidRPr="003A6CA9">
        <w:rPr>
          <w:color w:val="FF0000"/>
        </w:rPr>
        <w:t xml:space="preserve">International Federation of Red Cross and Red Crescent Societies </w:t>
      </w:r>
    </w:p>
    <w:p w14:paraId="4AEAB4DD" w14:textId="77777777" w:rsidR="009B567D" w:rsidRPr="00B91AAF" w:rsidRDefault="00545115" w:rsidP="004F2751">
      <w:pPr>
        <w:pStyle w:val="Projectsubtitle"/>
        <w:rPr>
          <w:rStyle w:val="Hyperlink"/>
          <w:rFonts w:ascii="Arial" w:hAnsi="Arial"/>
          <w:color w:val="002060"/>
        </w:rPr>
      </w:pPr>
      <w:r w:rsidRPr="00B91AAF">
        <w:rPr>
          <w:rFonts w:ascii="Arial Bold" w:hAnsi="Arial Bold"/>
          <w:color w:val="002060"/>
          <w:sz w:val="52"/>
        </w:rPr>
        <w:t xml:space="preserve">GWSI Mapping Analysis 2014 </w:t>
      </w:r>
      <w:r w:rsidR="00F94139" w:rsidRPr="00B91AAF">
        <w:rPr>
          <w:rStyle w:val="Hyperlink"/>
          <w:color w:val="002060"/>
          <w:u w:val="none"/>
        </w:rPr>
        <w:t xml:space="preserve"> </w:t>
      </w:r>
    </w:p>
    <w:p w14:paraId="2929547C" w14:textId="77777777" w:rsidR="009B567D" w:rsidRPr="00B91AAF" w:rsidRDefault="00545115" w:rsidP="007B6397">
      <w:pPr>
        <w:pStyle w:val="Projectsubtitle"/>
        <w:rPr>
          <w:color w:val="002060"/>
        </w:rPr>
      </w:pPr>
      <w:r w:rsidRPr="00B91AAF">
        <w:rPr>
          <w:rStyle w:val="Hyperlink"/>
          <w:color w:val="002060"/>
          <w:u w:val="none"/>
        </w:rPr>
        <w:t>GWSI</w:t>
      </w:r>
      <w:r w:rsidR="00F94139" w:rsidRPr="00B91AAF">
        <w:rPr>
          <w:rStyle w:val="Hyperlink"/>
          <w:color w:val="002060"/>
          <w:u w:val="none"/>
        </w:rPr>
        <w:t xml:space="preserve"> / </w:t>
      </w:r>
      <w:r w:rsidRPr="00B91AAF">
        <w:rPr>
          <w:rStyle w:val="Hyperlink"/>
          <w:color w:val="002060"/>
          <w:u w:val="none"/>
        </w:rPr>
        <w:t>Global</w:t>
      </w:r>
      <w:r w:rsidR="00F94139" w:rsidRPr="00B91AAF">
        <w:rPr>
          <w:rStyle w:val="Hyperlink"/>
          <w:color w:val="002060"/>
          <w:u w:val="none"/>
        </w:rPr>
        <w:t xml:space="preserve"> </w:t>
      </w:r>
      <w:r w:rsidR="00F94139" w:rsidRPr="00B91AAF">
        <w:rPr>
          <w:color w:val="002060"/>
        </w:rPr>
        <w:t xml:space="preserve">/ </w:t>
      </w:r>
      <w:r w:rsidR="007B6397" w:rsidRPr="00B91AAF">
        <w:rPr>
          <w:color w:val="002060"/>
        </w:rPr>
        <w:t>25</w:t>
      </w:r>
      <w:r w:rsidR="007B6397" w:rsidRPr="00B91AAF">
        <w:rPr>
          <w:color w:val="002060"/>
          <w:vertAlign w:val="superscript"/>
        </w:rPr>
        <w:t>th</w:t>
      </w:r>
      <w:r w:rsidR="007B6397" w:rsidRPr="00B91AAF">
        <w:rPr>
          <w:color w:val="002060"/>
        </w:rPr>
        <w:t xml:space="preserve"> August</w:t>
      </w:r>
      <w:r w:rsidRPr="00B91AAF">
        <w:rPr>
          <w:color w:val="002060"/>
        </w:rPr>
        <w:t xml:space="preserve"> 2014</w:t>
      </w:r>
    </w:p>
    <w:p w14:paraId="319AD67D" w14:textId="77777777" w:rsidR="00134E50" w:rsidRDefault="00134E50" w:rsidP="009B567D">
      <w:pPr>
        <w:pStyle w:val="Projectsubtitle"/>
        <w:rPr>
          <w:color w:val="595959"/>
        </w:rPr>
      </w:pPr>
    </w:p>
    <w:p w14:paraId="1C235127" w14:textId="77777777" w:rsidR="00134E50" w:rsidRPr="00134E50" w:rsidRDefault="003C60AA" w:rsidP="009B567D">
      <w:pPr>
        <w:pStyle w:val="Projectsubtitle"/>
        <w:rPr>
          <w:b/>
          <w:bCs/>
          <w:color w:val="C00000"/>
          <w:sz w:val="32"/>
          <w:szCs w:val="32"/>
          <w:u w:val="single"/>
        </w:rPr>
      </w:pPr>
      <w:r>
        <w:rPr>
          <w:b/>
          <w:bCs/>
          <w:color w:val="C00000"/>
          <w:sz w:val="32"/>
          <w:szCs w:val="32"/>
          <w:u w:val="single"/>
        </w:rPr>
        <w:t>Final Draft</w:t>
      </w:r>
    </w:p>
    <w:p w14:paraId="11ED138C" w14:textId="77777777" w:rsidR="009B567D" w:rsidRPr="00134E50" w:rsidRDefault="009B567D" w:rsidP="009B567D">
      <w:pPr>
        <w:pStyle w:val="Projectsubtitle"/>
        <w:rPr>
          <w:b/>
          <w:bCs/>
          <w:color w:val="595959"/>
        </w:rPr>
      </w:pPr>
    </w:p>
    <w:p w14:paraId="4F13952F" w14:textId="77777777" w:rsidR="005F3B34" w:rsidRPr="006F7F27" w:rsidRDefault="005F3B34" w:rsidP="00134E50">
      <w:pPr>
        <w:pStyle w:val="Heading1"/>
        <w:jc w:val="both"/>
      </w:pPr>
      <w:r>
        <w:t>Introduction</w:t>
      </w:r>
    </w:p>
    <w:p w14:paraId="3D4F162C" w14:textId="77777777" w:rsidR="005F3B34" w:rsidRDefault="005F3B34" w:rsidP="003C60AA">
      <w:pPr>
        <w:ind w:right="-96"/>
        <w:jc w:val="both"/>
      </w:pPr>
      <w:r>
        <w:t xml:space="preserve">The following analysis has been undertaken by the IFRC </w:t>
      </w:r>
      <w:r w:rsidR="003C60AA">
        <w:t>S</w:t>
      </w:r>
      <w:r>
        <w:t>ecretariat Water and Sanitation team based in Geneva in June</w:t>
      </w:r>
      <w:r w:rsidR="003C60AA">
        <w:t xml:space="preserve"> through August</w:t>
      </w:r>
      <w:r>
        <w:t xml:space="preserve"> 2014 based on data supplied by National Societies</w:t>
      </w:r>
      <w:r w:rsidR="004F2751">
        <w:t xml:space="preserve"> since 200</w:t>
      </w:r>
      <w:r w:rsidR="00676F08">
        <w:t>5</w:t>
      </w:r>
      <w:r w:rsidR="004F2751">
        <w:t xml:space="preserve"> and up to March 2014. Our sincere thanks to all who have contributed at all levels.</w:t>
      </w:r>
    </w:p>
    <w:p w14:paraId="1E12779E" w14:textId="77777777" w:rsidR="005F3B34" w:rsidRDefault="005F3B34" w:rsidP="00134E50">
      <w:pPr>
        <w:ind w:right="-96"/>
        <w:jc w:val="both"/>
      </w:pPr>
    </w:p>
    <w:p w14:paraId="4583B5E0" w14:textId="77777777" w:rsidR="005F3B34" w:rsidRDefault="005F3B34" w:rsidP="00134E50">
      <w:pPr>
        <w:pStyle w:val="Heading1"/>
        <w:jc w:val="both"/>
      </w:pPr>
      <w:r>
        <w:t>Summary Information</w:t>
      </w:r>
    </w:p>
    <w:p w14:paraId="68E5252B" w14:textId="77777777" w:rsidR="005F3B34" w:rsidRPr="00732E73" w:rsidRDefault="005F3B34" w:rsidP="00134E50">
      <w:pPr>
        <w:jc w:val="both"/>
        <w:rPr>
          <w:b/>
        </w:rPr>
      </w:pPr>
      <w:r w:rsidRPr="00732E73">
        <w:rPr>
          <w:b/>
        </w:rPr>
        <w:t xml:space="preserve">476 </w:t>
      </w:r>
      <w:r w:rsidR="004F2751">
        <w:rPr>
          <w:b/>
        </w:rPr>
        <w:t xml:space="preserve">GWSI </w:t>
      </w:r>
      <w:r w:rsidRPr="00732E73">
        <w:rPr>
          <w:b/>
        </w:rPr>
        <w:t>pro</w:t>
      </w:r>
      <w:r w:rsidR="004F2751">
        <w:rPr>
          <w:b/>
        </w:rPr>
        <w:t xml:space="preserve">jects </w:t>
      </w:r>
      <w:r w:rsidRPr="00732E73">
        <w:rPr>
          <w:b/>
        </w:rPr>
        <w:t>have been mapped</w:t>
      </w:r>
      <w:r w:rsidR="004F2751">
        <w:rPr>
          <w:b/>
        </w:rPr>
        <w:t>, that is projects that are recovery or developmental in nature and that meet some or all of the GWSI criteria.</w:t>
      </w:r>
    </w:p>
    <w:p w14:paraId="39CFD7CF" w14:textId="77777777" w:rsidR="00FF114E" w:rsidRDefault="00FF114E" w:rsidP="00134E50">
      <w:pPr>
        <w:jc w:val="both"/>
      </w:pPr>
    </w:p>
    <w:tbl>
      <w:tblPr>
        <w:tblW w:w="4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1136"/>
      </w:tblGrid>
      <w:tr w:rsidR="00FF114E" w:rsidRPr="00FF114E" w14:paraId="53887410" w14:textId="77777777" w:rsidTr="00FF114E">
        <w:trPr>
          <w:trHeight w:val="300"/>
        </w:trPr>
        <w:tc>
          <w:tcPr>
            <w:tcW w:w="3496" w:type="dxa"/>
            <w:shd w:val="clear" w:color="4F81BD" w:fill="4F81BD"/>
            <w:noWrap/>
            <w:vAlign w:val="bottom"/>
            <w:hideMark/>
          </w:tcPr>
          <w:p w14:paraId="7596FD55" w14:textId="77777777" w:rsidR="00FF114E" w:rsidRPr="00FF114E" w:rsidRDefault="004F2751" w:rsidP="00134E50">
            <w:pPr>
              <w:spacing w:before="0"/>
              <w:jc w:val="both"/>
              <w:rPr>
                <w:rFonts w:ascii="Calibri" w:eastAsia="Times New Roman" w:hAnsi="Calibri" w:cs="Calibri"/>
                <w:b/>
                <w:bCs/>
                <w:color w:val="FFFFFF"/>
                <w:szCs w:val="22"/>
                <w:lang w:val="en-GB" w:eastAsia="en-GB"/>
              </w:rPr>
            </w:pPr>
            <w:r>
              <w:rPr>
                <w:rFonts w:ascii="Calibri" w:eastAsia="Times New Roman" w:hAnsi="Calibri" w:cs="Calibri"/>
                <w:b/>
                <w:bCs/>
                <w:color w:val="FFFFFF"/>
                <w:szCs w:val="22"/>
                <w:lang w:val="en-GB" w:eastAsia="en-GB"/>
              </w:rPr>
              <w:t xml:space="preserve">People </w:t>
            </w:r>
            <w:r w:rsidR="00FF114E" w:rsidRPr="00732E73">
              <w:rPr>
                <w:rFonts w:ascii="Calibri" w:eastAsia="Times New Roman" w:hAnsi="Calibri" w:cs="Calibri"/>
                <w:b/>
                <w:bCs/>
                <w:color w:val="FFFFFF"/>
                <w:szCs w:val="22"/>
                <w:lang w:val="en-GB" w:eastAsia="en-GB"/>
              </w:rPr>
              <w:t xml:space="preserve"> Served</w:t>
            </w:r>
            <w:r>
              <w:rPr>
                <w:rFonts w:ascii="Calibri" w:eastAsia="Times New Roman" w:hAnsi="Calibri" w:cs="Calibri"/>
                <w:b/>
                <w:bCs/>
                <w:color w:val="FFFFFF"/>
                <w:szCs w:val="22"/>
                <w:lang w:val="en-GB" w:eastAsia="en-GB"/>
              </w:rPr>
              <w:t xml:space="preserve">  (2005 to March 2014)</w:t>
            </w:r>
          </w:p>
        </w:tc>
        <w:tc>
          <w:tcPr>
            <w:tcW w:w="1136" w:type="dxa"/>
            <w:shd w:val="clear" w:color="4F81BD" w:fill="4F81BD"/>
            <w:noWrap/>
            <w:vAlign w:val="bottom"/>
            <w:hideMark/>
          </w:tcPr>
          <w:p w14:paraId="3C819D9D" w14:textId="77777777" w:rsidR="00FF114E" w:rsidRPr="00FF114E" w:rsidRDefault="00FF114E" w:rsidP="00134E50">
            <w:pPr>
              <w:spacing w:before="0"/>
              <w:jc w:val="both"/>
              <w:rPr>
                <w:rFonts w:ascii="Calibri" w:eastAsia="Times New Roman" w:hAnsi="Calibri" w:cs="Calibri"/>
                <w:b/>
                <w:bCs/>
                <w:color w:val="FFFFFF"/>
                <w:szCs w:val="22"/>
                <w:lang w:val="en-GB" w:eastAsia="en-GB"/>
              </w:rPr>
            </w:pPr>
          </w:p>
        </w:tc>
      </w:tr>
      <w:tr w:rsidR="00FF114E" w:rsidRPr="00FF114E" w14:paraId="0EB8E88E" w14:textId="77777777" w:rsidTr="00FF114E">
        <w:trPr>
          <w:trHeight w:val="300"/>
        </w:trPr>
        <w:tc>
          <w:tcPr>
            <w:tcW w:w="3496" w:type="dxa"/>
            <w:shd w:val="clear" w:color="auto" w:fill="auto"/>
            <w:noWrap/>
            <w:vAlign w:val="bottom"/>
            <w:hideMark/>
          </w:tcPr>
          <w:p w14:paraId="34D97676" w14:textId="77777777" w:rsidR="00FF114E" w:rsidRPr="00FF114E" w:rsidRDefault="00FF114E" w:rsidP="00134E50">
            <w:pPr>
              <w:spacing w:before="0"/>
              <w:jc w:val="both"/>
              <w:rPr>
                <w:rFonts w:ascii="Calibri" w:eastAsia="Times New Roman" w:hAnsi="Calibri" w:cs="Calibri"/>
                <w:b/>
                <w:color w:val="000000"/>
                <w:szCs w:val="22"/>
                <w:lang w:val="en-GB" w:eastAsia="en-GB"/>
              </w:rPr>
            </w:pPr>
            <w:r w:rsidRPr="00FF114E">
              <w:rPr>
                <w:rFonts w:ascii="Calibri" w:eastAsia="Times New Roman" w:hAnsi="Calibri" w:cs="Calibri"/>
                <w:b/>
                <w:color w:val="000000"/>
                <w:szCs w:val="22"/>
                <w:lang w:val="en-GB" w:eastAsia="en-GB"/>
              </w:rPr>
              <w:t>Water</w:t>
            </w:r>
          </w:p>
        </w:tc>
        <w:tc>
          <w:tcPr>
            <w:tcW w:w="1136" w:type="dxa"/>
            <w:shd w:val="clear" w:color="auto" w:fill="auto"/>
            <w:noWrap/>
            <w:vAlign w:val="bottom"/>
            <w:hideMark/>
          </w:tcPr>
          <w:p w14:paraId="15A24EE2" w14:textId="77777777" w:rsidR="00FF114E" w:rsidRPr="00FF114E" w:rsidRDefault="00FF114E" w:rsidP="00134E50">
            <w:pPr>
              <w:spacing w:before="0"/>
              <w:jc w:val="both"/>
              <w:rPr>
                <w:rFonts w:ascii="Calibri" w:eastAsia="Times New Roman" w:hAnsi="Calibri" w:cs="Calibri"/>
                <w:b/>
                <w:color w:val="000000"/>
                <w:szCs w:val="22"/>
                <w:lang w:val="en-GB" w:eastAsia="en-GB"/>
              </w:rPr>
            </w:pPr>
            <w:r w:rsidRPr="00FF114E">
              <w:rPr>
                <w:rFonts w:ascii="Calibri" w:eastAsia="Times New Roman" w:hAnsi="Calibri" w:cs="Calibri"/>
                <w:b/>
                <w:color w:val="000000"/>
                <w:szCs w:val="22"/>
                <w:lang w:val="en-GB" w:eastAsia="en-GB"/>
              </w:rPr>
              <w:t xml:space="preserve">9,060,091 </w:t>
            </w:r>
          </w:p>
        </w:tc>
      </w:tr>
      <w:tr w:rsidR="00FF114E" w:rsidRPr="00FF114E" w14:paraId="0E917421" w14:textId="77777777" w:rsidTr="00FF114E">
        <w:trPr>
          <w:trHeight w:val="300"/>
        </w:trPr>
        <w:tc>
          <w:tcPr>
            <w:tcW w:w="3496" w:type="dxa"/>
            <w:shd w:val="clear" w:color="auto" w:fill="auto"/>
            <w:noWrap/>
            <w:vAlign w:val="bottom"/>
            <w:hideMark/>
          </w:tcPr>
          <w:p w14:paraId="66BE48C1" w14:textId="77777777" w:rsidR="00FF114E" w:rsidRPr="00FF114E" w:rsidRDefault="00FF114E" w:rsidP="00134E50">
            <w:pPr>
              <w:spacing w:before="0"/>
              <w:jc w:val="both"/>
              <w:rPr>
                <w:rFonts w:ascii="Calibri" w:eastAsia="Times New Roman" w:hAnsi="Calibri" w:cs="Calibri"/>
                <w:b/>
                <w:color w:val="000000"/>
                <w:szCs w:val="22"/>
                <w:lang w:val="en-GB" w:eastAsia="en-GB"/>
              </w:rPr>
            </w:pPr>
            <w:r w:rsidRPr="00FF114E">
              <w:rPr>
                <w:rFonts w:ascii="Calibri" w:eastAsia="Times New Roman" w:hAnsi="Calibri" w:cs="Calibri"/>
                <w:b/>
                <w:color w:val="000000"/>
                <w:szCs w:val="22"/>
                <w:lang w:val="en-GB" w:eastAsia="en-GB"/>
              </w:rPr>
              <w:t>Sanitation</w:t>
            </w:r>
          </w:p>
        </w:tc>
        <w:tc>
          <w:tcPr>
            <w:tcW w:w="1136" w:type="dxa"/>
            <w:shd w:val="clear" w:color="auto" w:fill="auto"/>
            <w:noWrap/>
            <w:vAlign w:val="bottom"/>
            <w:hideMark/>
          </w:tcPr>
          <w:p w14:paraId="2CFA04A8" w14:textId="77777777" w:rsidR="00FF114E" w:rsidRPr="00FF114E" w:rsidRDefault="00FF114E" w:rsidP="00134E50">
            <w:pPr>
              <w:spacing w:before="0"/>
              <w:jc w:val="both"/>
              <w:rPr>
                <w:rFonts w:ascii="Calibri" w:eastAsia="Times New Roman" w:hAnsi="Calibri" w:cs="Calibri"/>
                <w:b/>
                <w:color w:val="000000"/>
                <w:szCs w:val="22"/>
                <w:lang w:val="en-GB" w:eastAsia="en-GB"/>
              </w:rPr>
            </w:pPr>
            <w:r w:rsidRPr="00FF114E">
              <w:rPr>
                <w:rFonts w:ascii="Calibri" w:eastAsia="Times New Roman" w:hAnsi="Calibri" w:cs="Calibri"/>
                <w:b/>
                <w:color w:val="000000"/>
                <w:szCs w:val="22"/>
                <w:lang w:val="en-GB" w:eastAsia="en-GB"/>
              </w:rPr>
              <w:t xml:space="preserve">4,461,217 </w:t>
            </w:r>
          </w:p>
        </w:tc>
      </w:tr>
      <w:tr w:rsidR="00FF114E" w:rsidRPr="00FF114E" w14:paraId="57FBA7C8" w14:textId="77777777" w:rsidTr="00FF114E">
        <w:trPr>
          <w:trHeight w:val="300"/>
        </w:trPr>
        <w:tc>
          <w:tcPr>
            <w:tcW w:w="3496" w:type="dxa"/>
            <w:shd w:val="clear" w:color="auto" w:fill="auto"/>
            <w:noWrap/>
            <w:vAlign w:val="bottom"/>
            <w:hideMark/>
          </w:tcPr>
          <w:p w14:paraId="7D20DA52" w14:textId="77777777" w:rsidR="00FF114E" w:rsidRPr="00FF114E" w:rsidRDefault="00FF114E" w:rsidP="00134E50">
            <w:pPr>
              <w:spacing w:before="0"/>
              <w:jc w:val="both"/>
              <w:rPr>
                <w:rFonts w:ascii="Calibri" w:eastAsia="Times New Roman" w:hAnsi="Calibri" w:cs="Calibri"/>
                <w:b/>
                <w:color w:val="000000"/>
                <w:szCs w:val="22"/>
                <w:lang w:val="en-GB" w:eastAsia="en-GB"/>
              </w:rPr>
            </w:pPr>
            <w:r w:rsidRPr="00FF114E">
              <w:rPr>
                <w:rFonts w:ascii="Calibri" w:eastAsia="Times New Roman" w:hAnsi="Calibri" w:cs="Calibri"/>
                <w:b/>
                <w:color w:val="000000"/>
                <w:szCs w:val="22"/>
                <w:lang w:val="en-GB" w:eastAsia="en-GB"/>
              </w:rPr>
              <w:t>Hygiene Promotion</w:t>
            </w:r>
          </w:p>
        </w:tc>
        <w:tc>
          <w:tcPr>
            <w:tcW w:w="1136" w:type="dxa"/>
            <w:shd w:val="clear" w:color="auto" w:fill="auto"/>
            <w:noWrap/>
            <w:vAlign w:val="bottom"/>
            <w:hideMark/>
          </w:tcPr>
          <w:p w14:paraId="70646ECD" w14:textId="77777777" w:rsidR="00FF114E" w:rsidRPr="00FF114E" w:rsidRDefault="00FF114E" w:rsidP="00134E50">
            <w:pPr>
              <w:spacing w:before="0"/>
              <w:jc w:val="both"/>
              <w:rPr>
                <w:rFonts w:ascii="Calibri" w:eastAsia="Times New Roman" w:hAnsi="Calibri" w:cs="Calibri"/>
                <w:b/>
                <w:color w:val="000000"/>
                <w:szCs w:val="22"/>
                <w:lang w:val="en-GB" w:eastAsia="en-GB"/>
              </w:rPr>
            </w:pPr>
            <w:r w:rsidRPr="00FF114E">
              <w:rPr>
                <w:rFonts w:ascii="Calibri" w:eastAsia="Times New Roman" w:hAnsi="Calibri" w:cs="Calibri"/>
                <w:b/>
                <w:color w:val="000000"/>
                <w:szCs w:val="22"/>
                <w:lang w:val="en-GB" w:eastAsia="en-GB"/>
              </w:rPr>
              <w:t xml:space="preserve">6,346,441 </w:t>
            </w:r>
          </w:p>
        </w:tc>
      </w:tr>
    </w:tbl>
    <w:p w14:paraId="6C60807D" w14:textId="77777777" w:rsidR="005672B5" w:rsidRDefault="005672B5" w:rsidP="00134E50">
      <w:pPr>
        <w:jc w:val="both"/>
      </w:pPr>
    </w:p>
    <w:p w14:paraId="4D2E3DA3" w14:textId="77777777" w:rsidR="005F3B34" w:rsidRPr="00625A0A" w:rsidRDefault="00FF114E" w:rsidP="00134E50">
      <w:pPr>
        <w:jc w:val="both"/>
        <w:rPr>
          <w:bCs/>
        </w:rPr>
      </w:pPr>
      <w:r>
        <w:t>It is appreciated that a number of those served with a water intervention will be the same as those served by a sanitation intervention, and therefore analysis of the cumulative maximum</w:t>
      </w:r>
      <w:r w:rsidR="005672B5">
        <w:t xml:space="preserve"> population served</w:t>
      </w:r>
      <w:r>
        <w:t xml:space="preserve"> </w:t>
      </w:r>
      <w:r w:rsidR="009854E5">
        <w:t>for either</w:t>
      </w:r>
      <w:r>
        <w:t xml:space="preserve"> wate</w:t>
      </w:r>
      <w:r w:rsidR="009854E5">
        <w:t>r or</w:t>
      </w:r>
      <w:r>
        <w:t xml:space="preserve"> sanita</w:t>
      </w:r>
      <w:r w:rsidR="005672B5">
        <w:t>tion</w:t>
      </w:r>
      <w:r w:rsidR="009854E5">
        <w:t xml:space="preserve"> indicates that </w:t>
      </w:r>
      <w:r w:rsidR="009854E5" w:rsidRPr="00732E73">
        <w:rPr>
          <w:b/>
        </w:rPr>
        <w:t>13,4</w:t>
      </w:r>
      <w:r w:rsidR="00F557D4">
        <w:rPr>
          <w:b/>
        </w:rPr>
        <w:t>00,000 have been served with a w</w:t>
      </w:r>
      <w:r w:rsidR="009854E5" w:rsidRPr="00732E73">
        <w:rPr>
          <w:b/>
        </w:rPr>
        <w:t xml:space="preserve">ater and/or </w:t>
      </w:r>
      <w:r w:rsidR="00F557D4">
        <w:rPr>
          <w:b/>
        </w:rPr>
        <w:t>s</w:t>
      </w:r>
      <w:r w:rsidR="009854E5" w:rsidRPr="00732E73">
        <w:rPr>
          <w:b/>
        </w:rPr>
        <w:t>anitation intervention.</w:t>
      </w:r>
      <w:r w:rsidR="00625A0A">
        <w:rPr>
          <w:b/>
        </w:rPr>
        <w:t xml:space="preserve">  </w:t>
      </w:r>
      <w:r w:rsidR="00625A0A" w:rsidRPr="00625A0A">
        <w:rPr>
          <w:bCs/>
        </w:rPr>
        <w:t>This of course underlines our capacity to reach the 15 million target by December 2015.</w:t>
      </w:r>
    </w:p>
    <w:p w14:paraId="01FF645F" w14:textId="77777777" w:rsidR="003505B2" w:rsidRDefault="003505B2" w:rsidP="00134E50">
      <w:pPr>
        <w:jc w:val="both"/>
        <w:rPr>
          <w:b/>
        </w:rPr>
      </w:pPr>
    </w:p>
    <w:p w14:paraId="3DBA2EEF" w14:textId="77777777" w:rsidR="003505B2" w:rsidRDefault="003505B2" w:rsidP="00134E50">
      <w:pPr>
        <w:pStyle w:val="Heading1"/>
        <w:jc w:val="both"/>
      </w:pPr>
      <w:r>
        <w:t xml:space="preserve">Size and Duration of </w:t>
      </w:r>
      <w:r w:rsidR="004F2751">
        <w:t>GWSI Projects:</w:t>
      </w:r>
    </w:p>
    <w:p w14:paraId="2AA756ED" w14:textId="77777777" w:rsidR="00A9417C" w:rsidRDefault="009854E5" w:rsidP="00134E50">
      <w:pPr>
        <w:jc w:val="both"/>
      </w:pPr>
      <w:r>
        <w:t xml:space="preserve">Using the maximum of the </w:t>
      </w:r>
      <w:r w:rsidR="00F557D4">
        <w:t>w</w:t>
      </w:r>
      <w:r>
        <w:t xml:space="preserve">ater or </w:t>
      </w:r>
      <w:r w:rsidR="00F557D4">
        <w:t>s</w:t>
      </w:r>
      <w:r>
        <w:t xml:space="preserve">anitation </w:t>
      </w:r>
      <w:r w:rsidR="00F557D4">
        <w:t>s</w:t>
      </w:r>
      <w:r>
        <w:t>erved values it is possible to show that for all 476 pro</w:t>
      </w:r>
      <w:r w:rsidR="004F2751">
        <w:t>jects</w:t>
      </w:r>
      <w:r>
        <w:t xml:space="preserve"> mapped </w:t>
      </w:r>
      <w:r w:rsidRPr="009854E5">
        <w:rPr>
          <w:b/>
        </w:rPr>
        <w:t>the average beneficiary population served per pro</w:t>
      </w:r>
      <w:r w:rsidR="004F2751">
        <w:rPr>
          <w:b/>
        </w:rPr>
        <w:t xml:space="preserve">ject </w:t>
      </w:r>
      <w:r w:rsidR="0053382B">
        <w:rPr>
          <w:b/>
        </w:rPr>
        <w:t>was 28,155</w:t>
      </w:r>
      <w:r>
        <w:t xml:space="preserve">. This is encouraging and shows that GSWI guidance </w:t>
      </w:r>
      <w:r w:rsidR="00965F77">
        <w:t xml:space="preserve">for achieving </w:t>
      </w:r>
      <w:r>
        <w:t>value for money by having larger pro</w:t>
      </w:r>
      <w:r w:rsidR="004F2751">
        <w:t>jects</w:t>
      </w:r>
      <w:r>
        <w:t xml:space="preserve"> (creating proportionally lower overhead costs) is being </w:t>
      </w:r>
      <w:r w:rsidR="004F2751">
        <w:t>followed. We encourage this trend to continue.</w:t>
      </w:r>
    </w:p>
    <w:p w14:paraId="70BE933E" w14:textId="77777777" w:rsidR="007801C3" w:rsidRPr="004F2751" w:rsidRDefault="007801C3" w:rsidP="00134E50">
      <w:pPr>
        <w:jc w:val="both"/>
        <w:rPr>
          <w:bCs/>
        </w:rPr>
      </w:pPr>
      <w:r>
        <w:t xml:space="preserve">The </w:t>
      </w:r>
      <w:r w:rsidR="00742DD1">
        <w:rPr>
          <w:b/>
        </w:rPr>
        <w:t>average</w:t>
      </w:r>
      <w:r w:rsidRPr="00742DD1">
        <w:rPr>
          <w:b/>
        </w:rPr>
        <w:t xml:space="preserve"> duration of </w:t>
      </w:r>
      <w:r w:rsidR="00F557D4" w:rsidRPr="00742DD1">
        <w:rPr>
          <w:b/>
        </w:rPr>
        <w:t xml:space="preserve">a </w:t>
      </w:r>
      <w:r w:rsidR="004F2751">
        <w:rPr>
          <w:b/>
        </w:rPr>
        <w:t xml:space="preserve">GWSI Project was </w:t>
      </w:r>
      <w:r w:rsidR="00F557D4" w:rsidRPr="00742DD1">
        <w:rPr>
          <w:b/>
        </w:rPr>
        <w:t>3.3 years</w:t>
      </w:r>
      <w:r w:rsidR="004F2751">
        <w:rPr>
          <w:b/>
        </w:rPr>
        <w:t xml:space="preserve">. </w:t>
      </w:r>
      <w:r w:rsidR="004F2751" w:rsidRPr="004F2751">
        <w:rPr>
          <w:bCs/>
        </w:rPr>
        <w:t>Donors and other WASH actors are increasingly advocating for or indeed insisting that 4 to 5 years is a good minimum time period in most contexts</w:t>
      </w:r>
      <w:r w:rsidR="007C668E">
        <w:rPr>
          <w:bCs/>
        </w:rPr>
        <w:t>.</w:t>
      </w:r>
    </w:p>
    <w:p w14:paraId="5A23A6DC" w14:textId="77777777" w:rsidR="00A9417C" w:rsidRDefault="00A9417C" w:rsidP="00134E50">
      <w:pPr>
        <w:spacing w:before="0"/>
        <w:jc w:val="both"/>
      </w:pPr>
      <w:r>
        <w:br w:type="page"/>
      </w:r>
    </w:p>
    <w:p w14:paraId="24C53125" w14:textId="77777777" w:rsidR="003505B2" w:rsidRDefault="003505B2" w:rsidP="00134E50">
      <w:pPr>
        <w:jc w:val="both"/>
      </w:pPr>
    </w:p>
    <w:p w14:paraId="3BFB2F82" w14:textId="77777777" w:rsidR="00A9417C" w:rsidRDefault="003505B2" w:rsidP="00134E50">
      <w:pPr>
        <w:jc w:val="both"/>
      </w:pPr>
      <w:r>
        <w:t xml:space="preserve">The following </w:t>
      </w:r>
      <w:r w:rsidR="00A9417C">
        <w:t>pie chart indicates the size of pro</w:t>
      </w:r>
      <w:r w:rsidR="007C668E">
        <w:t xml:space="preserve">jects by people served: </w:t>
      </w:r>
      <w:r w:rsidR="00A9417C">
        <w:rPr>
          <w:noProof/>
          <w:lang w:val="en-GB" w:eastAsia="en-GB"/>
        </w:rPr>
        <w:drawing>
          <wp:inline distT="0" distB="0" distL="0" distR="0" wp14:anchorId="03ECE1A6" wp14:editId="319958E0">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5A6A9D" w14:textId="77777777" w:rsidR="007C668E" w:rsidRDefault="007C668E" w:rsidP="00134E50">
      <w:pPr>
        <w:jc w:val="both"/>
      </w:pPr>
    </w:p>
    <w:p w14:paraId="5DB8E173" w14:textId="77777777" w:rsidR="007C668E" w:rsidRPr="007C668E" w:rsidRDefault="007C668E" w:rsidP="00134E50">
      <w:pPr>
        <w:jc w:val="both"/>
      </w:pPr>
      <w:r>
        <w:t>This still indicates a large proportion of small scale projects. However, it should be noted that in small island states, or among pastoralist communities and other contexts, smaller projects are perfectly justified.</w:t>
      </w:r>
    </w:p>
    <w:p w14:paraId="18ADDF82" w14:textId="77777777" w:rsidR="00A9417C" w:rsidRDefault="00A9417C" w:rsidP="00134E50">
      <w:pPr>
        <w:jc w:val="both"/>
      </w:pPr>
    </w:p>
    <w:p w14:paraId="616432D3" w14:textId="77777777" w:rsidR="00732E73" w:rsidRDefault="00732E73" w:rsidP="00134E50">
      <w:pPr>
        <w:pStyle w:val="Heading1"/>
        <w:jc w:val="both"/>
      </w:pPr>
      <w:r>
        <w:t>Summary Information by Zone</w:t>
      </w:r>
    </w:p>
    <w:p w14:paraId="5BFEB61F" w14:textId="77777777" w:rsidR="00732E73" w:rsidRDefault="00732E73" w:rsidP="00134E50">
      <w:pPr>
        <w:jc w:val="both"/>
      </w:pPr>
      <w:r>
        <w:t>Of the 476</w:t>
      </w:r>
      <w:r w:rsidR="007C668E">
        <w:t xml:space="preserve"> GWSI </w:t>
      </w:r>
      <w:r>
        <w:t>pro</w:t>
      </w:r>
      <w:r w:rsidR="007C668E">
        <w:t xml:space="preserve">jects </w:t>
      </w:r>
      <w:r>
        <w:t>mapped the following</w:t>
      </w:r>
      <w:r w:rsidR="00701130">
        <w:t xml:space="preserve"> table and chart indicate the </w:t>
      </w:r>
      <w:r>
        <w:t xml:space="preserve">number of </w:t>
      </w:r>
      <w:r w:rsidR="007C668E">
        <w:t xml:space="preserve">projects </w:t>
      </w:r>
      <w:r>
        <w:t>by Zone</w:t>
      </w:r>
      <w:r w:rsidR="007C668E">
        <w:t>:</w:t>
      </w:r>
    </w:p>
    <w:p w14:paraId="559DAB90" w14:textId="77777777" w:rsidR="00732E73" w:rsidRDefault="00732E73" w:rsidP="00134E50">
      <w:pPr>
        <w:jc w:val="both"/>
      </w:pP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02"/>
      </w:tblGrid>
      <w:tr w:rsidR="00701130" w:rsidRPr="00701130" w14:paraId="55F4143E" w14:textId="77777777" w:rsidTr="00701130">
        <w:trPr>
          <w:trHeight w:val="300"/>
        </w:trPr>
        <w:tc>
          <w:tcPr>
            <w:tcW w:w="2410" w:type="dxa"/>
            <w:shd w:val="clear" w:color="4F81BD" w:fill="4F81BD"/>
            <w:noWrap/>
            <w:vAlign w:val="bottom"/>
            <w:hideMark/>
          </w:tcPr>
          <w:p w14:paraId="1CCB8729" w14:textId="77777777" w:rsidR="00701130" w:rsidRPr="00701130" w:rsidRDefault="00701130" w:rsidP="00134E50">
            <w:pPr>
              <w:spacing w:before="0"/>
              <w:jc w:val="both"/>
              <w:rPr>
                <w:rFonts w:ascii="Calibri" w:eastAsia="Times New Roman" w:hAnsi="Calibri" w:cs="Calibri"/>
                <w:b/>
                <w:bCs/>
                <w:color w:val="FFFFFF"/>
                <w:szCs w:val="22"/>
                <w:lang w:val="en-GB" w:eastAsia="en-GB"/>
              </w:rPr>
            </w:pPr>
          </w:p>
        </w:tc>
        <w:tc>
          <w:tcPr>
            <w:tcW w:w="3402" w:type="dxa"/>
            <w:shd w:val="clear" w:color="4F81BD" w:fill="4F81BD"/>
            <w:noWrap/>
            <w:vAlign w:val="bottom"/>
            <w:hideMark/>
          </w:tcPr>
          <w:p w14:paraId="470CED30" w14:textId="77777777" w:rsidR="00701130" w:rsidRPr="00701130" w:rsidRDefault="00701130" w:rsidP="00134E50">
            <w:pPr>
              <w:spacing w:before="0"/>
              <w:jc w:val="both"/>
              <w:rPr>
                <w:rFonts w:ascii="Calibri" w:eastAsia="Times New Roman" w:hAnsi="Calibri" w:cs="Calibri"/>
                <w:b/>
                <w:bCs/>
                <w:color w:val="FFFFFF"/>
                <w:szCs w:val="22"/>
                <w:lang w:val="en-GB" w:eastAsia="en-GB"/>
              </w:rPr>
            </w:pPr>
            <w:r>
              <w:rPr>
                <w:rFonts w:ascii="Calibri" w:eastAsia="Times New Roman" w:hAnsi="Calibri" w:cs="Calibri"/>
                <w:b/>
                <w:bCs/>
                <w:color w:val="FFFFFF"/>
                <w:szCs w:val="22"/>
                <w:lang w:val="en-GB" w:eastAsia="en-GB"/>
              </w:rPr>
              <w:t>Number of Pro</w:t>
            </w:r>
            <w:r w:rsidR="00323B26">
              <w:rPr>
                <w:rFonts w:ascii="Calibri" w:eastAsia="Times New Roman" w:hAnsi="Calibri" w:cs="Calibri"/>
                <w:b/>
                <w:bCs/>
                <w:color w:val="FFFFFF"/>
                <w:szCs w:val="22"/>
                <w:lang w:val="en-GB" w:eastAsia="en-GB"/>
              </w:rPr>
              <w:t xml:space="preserve">jects </w:t>
            </w:r>
            <w:r>
              <w:rPr>
                <w:rFonts w:ascii="Calibri" w:eastAsia="Times New Roman" w:hAnsi="Calibri" w:cs="Calibri"/>
                <w:b/>
                <w:bCs/>
                <w:color w:val="FFFFFF"/>
                <w:szCs w:val="22"/>
                <w:lang w:val="en-GB" w:eastAsia="en-GB"/>
              </w:rPr>
              <w:t>by Zone</w:t>
            </w:r>
          </w:p>
        </w:tc>
      </w:tr>
      <w:tr w:rsidR="00701130" w:rsidRPr="00701130" w14:paraId="39035D98" w14:textId="77777777" w:rsidTr="00701130">
        <w:trPr>
          <w:trHeight w:val="300"/>
        </w:trPr>
        <w:tc>
          <w:tcPr>
            <w:tcW w:w="2410" w:type="dxa"/>
            <w:shd w:val="clear" w:color="auto" w:fill="auto"/>
            <w:noWrap/>
            <w:vAlign w:val="bottom"/>
            <w:hideMark/>
          </w:tcPr>
          <w:p w14:paraId="0FB96525" w14:textId="77777777" w:rsidR="00701130" w:rsidRPr="00701130" w:rsidRDefault="00701130" w:rsidP="00134E50">
            <w:pPr>
              <w:spacing w:before="0"/>
              <w:jc w:val="both"/>
              <w:rPr>
                <w:rFonts w:ascii="Calibri" w:eastAsia="Times New Roman" w:hAnsi="Calibri" w:cs="Calibri"/>
                <w:color w:val="000000"/>
                <w:szCs w:val="22"/>
                <w:lang w:val="en-GB" w:eastAsia="en-GB"/>
              </w:rPr>
            </w:pPr>
            <w:r w:rsidRPr="00701130">
              <w:rPr>
                <w:rFonts w:ascii="Calibri" w:eastAsia="Times New Roman" w:hAnsi="Calibri" w:cs="Calibri"/>
                <w:color w:val="000000"/>
                <w:szCs w:val="22"/>
                <w:lang w:val="en-GB" w:eastAsia="en-GB"/>
              </w:rPr>
              <w:t>Africa</w:t>
            </w:r>
          </w:p>
        </w:tc>
        <w:tc>
          <w:tcPr>
            <w:tcW w:w="3402" w:type="dxa"/>
            <w:shd w:val="clear" w:color="auto" w:fill="auto"/>
            <w:noWrap/>
            <w:vAlign w:val="bottom"/>
            <w:hideMark/>
          </w:tcPr>
          <w:p w14:paraId="5669EF04" w14:textId="77777777" w:rsidR="00701130" w:rsidRPr="00701130" w:rsidRDefault="00701130" w:rsidP="00134E50">
            <w:pPr>
              <w:spacing w:before="0"/>
              <w:jc w:val="both"/>
              <w:rPr>
                <w:rFonts w:ascii="Calibri" w:eastAsia="Times New Roman" w:hAnsi="Calibri" w:cs="Calibri"/>
                <w:color w:val="000000"/>
                <w:szCs w:val="22"/>
                <w:lang w:val="en-GB" w:eastAsia="en-GB"/>
              </w:rPr>
            </w:pPr>
            <w:r w:rsidRPr="00701130">
              <w:rPr>
                <w:rFonts w:ascii="Calibri" w:eastAsia="Times New Roman" w:hAnsi="Calibri" w:cs="Calibri"/>
                <w:color w:val="000000"/>
                <w:szCs w:val="22"/>
                <w:lang w:val="en-GB" w:eastAsia="en-GB"/>
              </w:rPr>
              <w:t>201</w:t>
            </w:r>
          </w:p>
        </w:tc>
      </w:tr>
      <w:tr w:rsidR="00701130" w:rsidRPr="00701130" w14:paraId="77AEA21F" w14:textId="77777777" w:rsidTr="00701130">
        <w:trPr>
          <w:trHeight w:val="300"/>
        </w:trPr>
        <w:tc>
          <w:tcPr>
            <w:tcW w:w="2410" w:type="dxa"/>
            <w:shd w:val="clear" w:color="auto" w:fill="auto"/>
            <w:noWrap/>
            <w:vAlign w:val="bottom"/>
            <w:hideMark/>
          </w:tcPr>
          <w:p w14:paraId="512A74B2" w14:textId="77777777" w:rsidR="00701130" w:rsidRPr="00701130" w:rsidRDefault="00701130" w:rsidP="00134E50">
            <w:pPr>
              <w:spacing w:before="0"/>
              <w:jc w:val="both"/>
              <w:rPr>
                <w:rFonts w:ascii="Calibri" w:eastAsia="Times New Roman" w:hAnsi="Calibri" w:cs="Calibri"/>
                <w:color w:val="000000"/>
                <w:szCs w:val="22"/>
                <w:lang w:val="en-GB" w:eastAsia="en-GB"/>
              </w:rPr>
            </w:pPr>
            <w:r w:rsidRPr="00701130">
              <w:rPr>
                <w:rFonts w:ascii="Calibri" w:eastAsia="Times New Roman" w:hAnsi="Calibri" w:cs="Calibri"/>
                <w:color w:val="000000"/>
                <w:szCs w:val="22"/>
                <w:lang w:val="en-GB" w:eastAsia="en-GB"/>
              </w:rPr>
              <w:t>Americas</w:t>
            </w:r>
          </w:p>
        </w:tc>
        <w:tc>
          <w:tcPr>
            <w:tcW w:w="3402" w:type="dxa"/>
            <w:shd w:val="clear" w:color="auto" w:fill="auto"/>
            <w:noWrap/>
            <w:vAlign w:val="bottom"/>
            <w:hideMark/>
          </w:tcPr>
          <w:p w14:paraId="64CBC0C1" w14:textId="77777777" w:rsidR="00701130" w:rsidRPr="00701130" w:rsidRDefault="00701130" w:rsidP="00134E50">
            <w:pPr>
              <w:spacing w:before="0"/>
              <w:jc w:val="both"/>
              <w:rPr>
                <w:rFonts w:ascii="Calibri" w:eastAsia="Times New Roman" w:hAnsi="Calibri" w:cs="Calibri"/>
                <w:color w:val="000000"/>
                <w:szCs w:val="22"/>
                <w:lang w:val="en-GB" w:eastAsia="en-GB"/>
              </w:rPr>
            </w:pPr>
            <w:r w:rsidRPr="00701130">
              <w:rPr>
                <w:rFonts w:ascii="Calibri" w:eastAsia="Times New Roman" w:hAnsi="Calibri" w:cs="Calibri"/>
                <w:color w:val="000000"/>
                <w:szCs w:val="22"/>
                <w:lang w:val="en-GB" w:eastAsia="en-GB"/>
              </w:rPr>
              <w:t>64</w:t>
            </w:r>
          </w:p>
        </w:tc>
      </w:tr>
      <w:tr w:rsidR="00701130" w:rsidRPr="00701130" w14:paraId="35740559" w14:textId="77777777" w:rsidTr="00701130">
        <w:trPr>
          <w:trHeight w:val="300"/>
        </w:trPr>
        <w:tc>
          <w:tcPr>
            <w:tcW w:w="2410" w:type="dxa"/>
            <w:shd w:val="clear" w:color="auto" w:fill="auto"/>
            <w:noWrap/>
            <w:vAlign w:val="bottom"/>
            <w:hideMark/>
          </w:tcPr>
          <w:p w14:paraId="018E82B1" w14:textId="77777777" w:rsidR="00701130" w:rsidRPr="00701130" w:rsidRDefault="00701130" w:rsidP="00134E50">
            <w:pPr>
              <w:spacing w:before="0"/>
              <w:jc w:val="both"/>
              <w:rPr>
                <w:rFonts w:ascii="Calibri" w:eastAsia="Times New Roman" w:hAnsi="Calibri" w:cs="Calibri"/>
                <w:color w:val="000000"/>
                <w:szCs w:val="22"/>
                <w:lang w:val="en-GB" w:eastAsia="en-GB"/>
              </w:rPr>
            </w:pPr>
            <w:r w:rsidRPr="00701130">
              <w:rPr>
                <w:rFonts w:ascii="Calibri" w:eastAsia="Times New Roman" w:hAnsi="Calibri" w:cs="Calibri"/>
                <w:color w:val="000000"/>
                <w:szCs w:val="22"/>
                <w:lang w:val="en-GB" w:eastAsia="en-GB"/>
              </w:rPr>
              <w:t>Asia Pacific</w:t>
            </w:r>
          </w:p>
        </w:tc>
        <w:tc>
          <w:tcPr>
            <w:tcW w:w="3402" w:type="dxa"/>
            <w:shd w:val="clear" w:color="auto" w:fill="auto"/>
            <w:noWrap/>
            <w:vAlign w:val="bottom"/>
            <w:hideMark/>
          </w:tcPr>
          <w:p w14:paraId="5338647E" w14:textId="77777777" w:rsidR="00701130" w:rsidRPr="00701130" w:rsidRDefault="00701130" w:rsidP="00134E50">
            <w:pPr>
              <w:spacing w:before="0"/>
              <w:jc w:val="both"/>
              <w:rPr>
                <w:rFonts w:ascii="Calibri" w:eastAsia="Times New Roman" w:hAnsi="Calibri" w:cs="Calibri"/>
                <w:color w:val="000000"/>
                <w:szCs w:val="22"/>
                <w:lang w:val="en-GB" w:eastAsia="en-GB"/>
              </w:rPr>
            </w:pPr>
            <w:r w:rsidRPr="00701130">
              <w:rPr>
                <w:rFonts w:ascii="Calibri" w:eastAsia="Times New Roman" w:hAnsi="Calibri" w:cs="Calibri"/>
                <w:color w:val="000000"/>
                <w:szCs w:val="22"/>
                <w:lang w:val="en-GB" w:eastAsia="en-GB"/>
              </w:rPr>
              <w:t>207</w:t>
            </w:r>
          </w:p>
        </w:tc>
      </w:tr>
      <w:tr w:rsidR="00701130" w:rsidRPr="00701130" w14:paraId="6C498F28" w14:textId="77777777" w:rsidTr="00701130">
        <w:trPr>
          <w:trHeight w:val="300"/>
        </w:trPr>
        <w:tc>
          <w:tcPr>
            <w:tcW w:w="2410" w:type="dxa"/>
            <w:shd w:val="clear" w:color="auto" w:fill="auto"/>
            <w:noWrap/>
            <w:vAlign w:val="bottom"/>
            <w:hideMark/>
          </w:tcPr>
          <w:p w14:paraId="3EFE08E4" w14:textId="77777777" w:rsidR="00701130" w:rsidRPr="00701130" w:rsidRDefault="00701130" w:rsidP="00134E50">
            <w:pPr>
              <w:spacing w:before="0"/>
              <w:jc w:val="both"/>
              <w:rPr>
                <w:rFonts w:ascii="Calibri" w:eastAsia="Times New Roman" w:hAnsi="Calibri" w:cs="Calibri"/>
                <w:color w:val="000000"/>
                <w:szCs w:val="22"/>
                <w:lang w:val="en-GB" w:eastAsia="en-GB"/>
              </w:rPr>
            </w:pPr>
            <w:r w:rsidRPr="00701130">
              <w:rPr>
                <w:rFonts w:ascii="Calibri" w:eastAsia="Times New Roman" w:hAnsi="Calibri" w:cs="Calibri"/>
                <w:color w:val="000000"/>
                <w:szCs w:val="22"/>
                <w:lang w:val="en-GB" w:eastAsia="en-GB"/>
              </w:rPr>
              <w:t>MENA</w:t>
            </w:r>
          </w:p>
        </w:tc>
        <w:tc>
          <w:tcPr>
            <w:tcW w:w="3402" w:type="dxa"/>
            <w:shd w:val="clear" w:color="auto" w:fill="auto"/>
            <w:noWrap/>
            <w:vAlign w:val="bottom"/>
            <w:hideMark/>
          </w:tcPr>
          <w:p w14:paraId="32A7D956" w14:textId="77777777" w:rsidR="00701130" w:rsidRPr="00701130" w:rsidRDefault="00701130" w:rsidP="00134E50">
            <w:pPr>
              <w:spacing w:before="0"/>
              <w:jc w:val="both"/>
              <w:rPr>
                <w:rFonts w:ascii="Calibri" w:eastAsia="Times New Roman" w:hAnsi="Calibri" w:cs="Calibri"/>
                <w:color w:val="000000"/>
                <w:szCs w:val="22"/>
                <w:lang w:val="en-GB" w:eastAsia="en-GB"/>
              </w:rPr>
            </w:pPr>
            <w:r w:rsidRPr="00701130">
              <w:rPr>
                <w:rFonts w:ascii="Calibri" w:eastAsia="Times New Roman" w:hAnsi="Calibri" w:cs="Calibri"/>
                <w:color w:val="000000"/>
                <w:szCs w:val="22"/>
                <w:lang w:val="en-GB" w:eastAsia="en-GB"/>
              </w:rPr>
              <w:t>4</w:t>
            </w:r>
          </w:p>
        </w:tc>
      </w:tr>
      <w:tr w:rsidR="00701130" w:rsidRPr="00701130" w14:paraId="506F25F9" w14:textId="77777777" w:rsidTr="00701130">
        <w:trPr>
          <w:trHeight w:val="300"/>
        </w:trPr>
        <w:tc>
          <w:tcPr>
            <w:tcW w:w="2410" w:type="dxa"/>
            <w:shd w:val="clear" w:color="auto" w:fill="auto"/>
            <w:noWrap/>
            <w:vAlign w:val="bottom"/>
            <w:hideMark/>
          </w:tcPr>
          <w:p w14:paraId="5D05E658" w14:textId="77777777" w:rsidR="00701130" w:rsidRPr="00701130" w:rsidRDefault="00701130" w:rsidP="00134E50">
            <w:pPr>
              <w:spacing w:before="0"/>
              <w:jc w:val="both"/>
              <w:rPr>
                <w:rFonts w:ascii="Calibri" w:eastAsia="Times New Roman" w:hAnsi="Calibri" w:cs="Calibri"/>
                <w:b/>
                <w:bCs/>
                <w:color w:val="000000"/>
                <w:szCs w:val="22"/>
                <w:lang w:val="en-GB" w:eastAsia="en-GB"/>
              </w:rPr>
            </w:pPr>
            <w:r w:rsidRPr="00701130">
              <w:rPr>
                <w:rFonts w:ascii="Calibri" w:eastAsia="Times New Roman" w:hAnsi="Calibri" w:cs="Calibri"/>
                <w:b/>
                <w:bCs/>
                <w:color w:val="000000"/>
                <w:szCs w:val="22"/>
                <w:lang w:val="en-GB" w:eastAsia="en-GB"/>
              </w:rPr>
              <w:t>Grand Total</w:t>
            </w:r>
          </w:p>
        </w:tc>
        <w:tc>
          <w:tcPr>
            <w:tcW w:w="3402" w:type="dxa"/>
            <w:shd w:val="clear" w:color="auto" w:fill="auto"/>
            <w:noWrap/>
            <w:vAlign w:val="bottom"/>
            <w:hideMark/>
          </w:tcPr>
          <w:p w14:paraId="46629EB3" w14:textId="77777777" w:rsidR="00701130" w:rsidRPr="00701130" w:rsidRDefault="00701130" w:rsidP="00134E50">
            <w:pPr>
              <w:spacing w:before="0"/>
              <w:jc w:val="both"/>
              <w:rPr>
                <w:rFonts w:ascii="Calibri" w:eastAsia="Times New Roman" w:hAnsi="Calibri" w:cs="Calibri"/>
                <w:b/>
                <w:bCs/>
                <w:color w:val="000000"/>
                <w:szCs w:val="22"/>
                <w:lang w:val="en-GB" w:eastAsia="en-GB"/>
              </w:rPr>
            </w:pPr>
            <w:r w:rsidRPr="00701130">
              <w:rPr>
                <w:rFonts w:ascii="Calibri" w:eastAsia="Times New Roman" w:hAnsi="Calibri" w:cs="Calibri"/>
                <w:b/>
                <w:bCs/>
                <w:color w:val="000000"/>
                <w:szCs w:val="22"/>
                <w:lang w:val="en-GB" w:eastAsia="en-GB"/>
              </w:rPr>
              <w:t>476</w:t>
            </w:r>
          </w:p>
        </w:tc>
      </w:tr>
    </w:tbl>
    <w:p w14:paraId="53109F57" w14:textId="77777777" w:rsidR="00732E73" w:rsidRDefault="00732E73" w:rsidP="00134E50">
      <w:pPr>
        <w:jc w:val="both"/>
      </w:pPr>
    </w:p>
    <w:p w14:paraId="3FBDBD4C" w14:textId="77777777" w:rsidR="00701130" w:rsidRDefault="00701130" w:rsidP="00134E50">
      <w:pPr>
        <w:jc w:val="both"/>
      </w:pPr>
      <w:r>
        <w:rPr>
          <w:noProof/>
          <w:lang w:val="en-GB" w:eastAsia="en-GB"/>
        </w:rPr>
        <w:lastRenderedPageBreak/>
        <w:drawing>
          <wp:inline distT="0" distB="0" distL="0" distR="0" wp14:anchorId="62F34C5C" wp14:editId="2AC54E19">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13EDA4" w14:textId="77777777" w:rsidR="00732E73" w:rsidRDefault="00732E73" w:rsidP="00134E50">
      <w:pPr>
        <w:jc w:val="both"/>
        <w:rPr>
          <w:noProof/>
          <w:lang w:val="en-GB" w:eastAsia="en-GB"/>
        </w:rPr>
      </w:pPr>
    </w:p>
    <w:p w14:paraId="30908F09" w14:textId="77777777" w:rsidR="00A31AD6" w:rsidRDefault="00A31AD6" w:rsidP="00134E50">
      <w:pPr>
        <w:jc w:val="both"/>
      </w:pPr>
    </w:p>
    <w:p w14:paraId="34CC19D2" w14:textId="77777777" w:rsidR="005F3B34" w:rsidRPr="005F3B34" w:rsidRDefault="00732E73" w:rsidP="00134E50">
      <w:pPr>
        <w:jc w:val="both"/>
      </w:pPr>
      <w:r>
        <w:t>The information is presented again in terms of population served:</w:t>
      </w:r>
    </w:p>
    <w:p w14:paraId="1507670E" w14:textId="77777777" w:rsidR="005F3B34" w:rsidRDefault="005F3B34" w:rsidP="00134E50">
      <w:pPr>
        <w:pStyle w:val="Heading1"/>
        <w:jc w:val="both"/>
      </w:pPr>
      <w:r>
        <w:t xml:space="preserve"> </w:t>
      </w:r>
    </w:p>
    <w:p w14:paraId="58094ECA" w14:textId="77777777" w:rsidR="00701130" w:rsidRDefault="00701130" w:rsidP="00134E50">
      <w:pPr>
        <w:jc w:val="both"/>
      </w:pPr>
      <w:r>
        <w:rPr>
          <w:noProof/>
          <w:lang w:val="en-GB" w:eastAsia="en-GB"/>
        </w:rPr>
        <w:drawing>
          <wp:inline distT="0" distB="0" distL="0" distR="0" wp14:anchorId="6E51E567" wp14:editId="56DA95D4">
            <wp:extent cx="4635500" cy="2857500"/>
            <wp:effectExtent l="0" t="0" r="127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2078E4" w14:textId="77777777" w:rsidR="00701130" w:rsidRPr="00701130" w:rsidRDefault="00701130" w:rsidP="00134E50">
      <w:pPr>
        <w:jc w:val="both"/>
      </w:pPr>
    </w:p>
    <w:p w14:paraId="10CAB70C" w14:textId="77777777" w:rsidR="005F3B34" w:rsidRDefault="005F3B34" w:rsidP="00134E50">
      <w:pPr>
        <w:ind w:right="-96"/>
        <w:jc w:val="both"/>
        <w:rPr>
          <w:i/>
          <w:color w:val="C0504D"/>
          <w:sz w:val="20"/>
        </w:rPr>
      </w:pPr>
    </w:p>
    <w:p w14:paraId="4BDCF058" w14:textId="77777777" w:rsidR="005672B5" w:rsidRDefault="005672B5" w:rsidP="00134E50">
      <w:pPr>
        <w:jc w:val="both"/>
      </w:pPr>
      <w:r>
        <w:t>As can be seen from the above although Africa Zone and Asia Pacific undertake a similar number of Water and Sanitation pro</w:t>
      </w:r>
      <w:r w:rsidR="00323B26">
        <w:t>jects</w:t>
      </w:r>
      <w:r>
        <w:t xml:space="preserve"> the size of the pro</w:t>
      </w:r>
      <w:r w:rsidR="00323B26">
        <w:t>jects</w:t>
      </w:r>
      <w:r>
        <w:t xml:space="preserve"> in Africa Zone </w:t>
      </w:r>
      <w:r w:rsidR="00A31AD6">
        <w:t xml:space="preserve">is </w:t>
      </w:r>
      <w:r w:rsidR="00323B26">
        <w:t xml:space="preserve">generally </w:t>
      </w:r>
      <w:r w:rsidR="00A31AD6">
        <w:t>larger by population size.</w:t>
      </w:r>
    </w:p>
    <w:p w14:paraId="75FD4784" w14:textId="77777777" w:rsidR="009B567D" w:rsidRPr="003C60AA" w:rsidRDefault="00A31AD6" w:rsidP="003C60AA">
      <w:pPr>
        <w:spacing w:before="0"/>
        <w:jc w:val="both"/>
        <w:rPr>
          <w:rFonts w:ascii="Arial Bold" w:hAnsi="Arial Bold"/>
          <w:color w:val="FF0000"/>
          <w:sz w:val="24"/>
        </w:rPr>
      </w:pPr>
      <w:r>
        <w:br w:type="page"/>
      </w:r>
    </w:p>
    <w:p w14:paraId="10AD9435" w14:textId="77777777" w:rsidR="007801C3" w:rsidRDefault="007801C3" w:rsidP="00134E50">
      <w:pPr>
        <w:pStyle w:val="Heading1"/>
        <w:jc w:val="both"/>
      </w:pPr>
      <w:r>
        <w:t>Multilateral or Bilateral Pro</w:t>
      </w:r>
      <w:r w:rsidR="00323B26">
        <w:t>jects</w:t>
      </w:r>
    </w:p>
    <w:p w14:paraId="6E1B7577" w14:textId="77777777" w:rsidR="00972D10" w:rsidRDefault="007801C3" w:rsidP="00134E50">
      <w:pPr>
        <w:ind w:right="-96"/>
        <w:jc w:val="both"/>
      </w:pPr>
      <w:r>
        <w:t xml:space="preserve">The following presents the number of </w:t>
      </w:r>
      <w:r w:rsidR="00972D10">
        <w:t>pro</w:t>
      </w:r>
      <w:r w:rsidR="00323B26">
        <w:t>jects</w:t>
      </w:r>
      <w:r w:rsidR="00972D10">
        <w:t xml:space="preserve"> considering</w:t>
      </w:r>
      <w:r>
        <w:t xml:space="preserve"> </w:t>
      </w:r>
      <w:r w:rsidR="00972D10">
        <w:t>Multilateral (IFRC) or Bilateral (including no partner pro</w:t>
      </w:r>
      <w:r w:rsidR="00323B26">
        <w:t>jects</w:t>
      </w:r>
      <w:r w:rsidR="00972D10">
        <w:t xml:space="preserve"> where the host national society does not work with a partner national society):</w:t>
      </w:r>
    </w:p>
    <w:p w14:paraId="2E76499F" w14:textId="77777777" w:rsidR="00972D10" w:rsidRDefault="00972D10" w:rsidP="00134E50">
      <w:pPr>
        <w:ind w:right="-96"/>
        <w:jc w:val="both"/>
      </w:pPr>
    </w:p>
    <w:p w14:paraId="0AF3281D" w14:textId="77777777" w:rsidR="00972D10" w:rsidRDefault="00972D10" w:rsidP="00134E50">
      <w:pPr>
        <w:ind w:right="-96"/>
        <w:jc w:val="both"/>
      </w:pPr>
      <w:r>
        <w:rPr>
          <w:noProof/>
          <w:lang w:val="en-GB" w:eastAsia="en-GB"/>
        </w:rPr>
        <w:drawing>
          <wp:inline distT="0" distB="0" distL="0" distR="0" wp14:anchorId="1AB2D822" wp14:editId="5A1A5C54">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56A1B9" w14:textId="77777777" w:rsidR="00972D10" w:rsidRDefault="00972D10" w:rsidP="00134E50">
      <w:pPr>
        <w:ind w:right="-96"/>
        <w:jc w:val="both"/>
      </w:pPr>
    </w:p>
    <w:p w14:paraId="6F871118" w14:textId="77777777" w:rsidR="00972D10" w:rsidRDefault="00972D10" w:rsidP="00134E50">
      <w:pPr>
        <w:ind w:right="-96"/>
        <w:jc w:val="both"/>
      </w:pPr>
      <w:r>
        <w:t>The same is presented again considering population served (based on the maximum of the water or sanitation population served value):</w:t>
      </w:r>
    </w:p>
    <w:p w14:paraId="2BA7AC39" w14:textId="77777777" w:rsidR="00972D10" w:rsidRDefault="00972D10" w:rsidP="00134E50">
      <w:pPr>
        <w:ind w:right="-96"/>
        <w:jc w:val="both"/>
      </w:pPr>
    </w:p>
    <w:p w14:paraId="5A86CCC4" w14:textId="77777777" w:rsidR="007801C3" w:rsidRDefault="00972D10" w:rsidP="00134E50">
      <w:pPr>
        <w:ind w:right="-96"/>
        <w:jc w:val="both"/>
      </w:pPr>
      <w:r>
        <w:rPr>
          <w:noProof/>
          <w:lang w:val="en-GB" w:eastAsia="en-GB"/>
        </w:rPr>
        <w:drawing>
          <wp:inline distT="0" distB="0" distL="0" distR="0" wp14:anchorId="4054E366" wp14:editId="13A49494">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6A4EAD" w14:textId="77777777" w:rsidR="00972D10" w:rsidRDefault="00972D10" w:rsidP="00134E50">
      <w:pPr>
        <w:ind w:right="-96"/>
        <w:jc w:val="both"/>
      </w:pPr>
    </w:p>
    <w:p w14:paraId="095903AA" w14:textId="77777777" w:rsidR="00972D10" w:rsidRDefault="00972D10" w:rsidP="00134E50">
      <w:pPr>
        <w:ind w:right="-96"/>
        <w:jc w:val="both"/>
      </w:pPr>
      <w:r>
        <w:t xml:space="preserve">The average multilateral </w:t>
      </w:r>
      <w:r w:rsidR="0053382B">
        <w:t>pro</w:t>
      </w:r>
      <w:r w:rsidR="00323B26">
        <w:t xml:space="preserve">ject </w:t>
      </w:r>
      <w:r w:rsidR="0053382B">
        <w:t>has</w:t>
      </w:r>
      <w:r>
        <w:t xml:space="preserve"> 37,656</w:t>
      </w:r>
      <w:r w:rsidR="0053382B">
        <w:t xml:space="preserve"> beneficiaries served</w:t>
      </w:r>
      <w:r>
        <w:t xml:space="preserve">, whereas, the average </w:t>
      </w:r>
      <w:r w:rsidR="0053382B">
        <w:t>bilateral pro</w:t>
      </w:r>
      <w:r w:rsidR="00323B26">
        <w:t xml:space="preserve">ject </w:t>
      </w:r>
      <w:r w:rsidR="0053382B">
        <w:t>size has 26,264 beneficiaries served. This suggests that multilateral pro</w:t>
      </w:r>
      <w:r w:rsidR="00134E50">
        <w:t>jects</w:t>
      </w:r>
      <w:r w:rsidR="0053382B">
        <w:t xml:space="preserve"> may offer better </w:t>
      </w:r>
      <w:r w:rsidR="00134E50">
        <w:t xml:space="preserve">cost-effectiveness </w:t>
      </w:r>
      <w:r w:rsidR="0053382B">
        <w:t>(assuming larger pro</w:t>
      </w:r>
      <w:r w:rsidR="00134E50">
        <w:t xml:space="preserve">jects </w:t>
      </w:r>
      <w:r w:rsidR="0053382B">
        <w:t>have lower proportional overhead costs).</w:t>
      </w:r>
      <w:r w:rsidR="00134E50">
        <w:t xml:space="preserve"> In any case, larger projects regardless if multilateral or bilateral are still assumed to be the best utilization of funding.</w:t>
      </w:r>
    </w:p>
    <w:p w14:paraId="36EE48CE" w14:textId="77777777" w:rsidR="00742DD1" w:rsidRDefault="00742DD1" w:rsidP="00134E50">
      <w:pPr>
        <w:pStyle w:val="Heading1"/>
        <w:jc w:val="both"/>
      </w:pPr>
    </w:p>
    <w:p w14:paraId="6E6BE714" w14:textId="77777777" w:rsidR="007801C3" w:rsidRDefault="007801C3" w:rsidP="00134E50">
      <w:pPr>
        <w:pStyle w:val="Heading1"/>
        <w:jc w:val="both"/>
      </w:pPr>
      <w:r>
        <w:t>Issues with Data</w:t>
      </w:r>
    </w:p>
    <w:p w14:paraId="3C8CE380" w14:textId="77777777" w:rsidR="007801C3" w:rsidRDefault="00742DD1" w:rsidP="00134E50">
      <w:pPr>
        <w:jc w:val="both"/>
      </w:pPr>
      <w:r>
        <w:t>Out of 476 pro</w:t>
      </w:r>
      <w:r w:rsidR="00134E50">
        <w:t>jects m</w:t>
      </w:r>
      <w:r>
        <w:t>apped 220 of these pro</w:t>
      </w:r>
      <w:r w:rsidR="00134E50">
        <w:t>jects</w:t>
      </w:r>
      <w:r>
        <w:t xml:space="preserve"> (46%) reported the same population served figures as population targeted for one or more intervention type. This raises </w:t>
      </w:r>
      <w:r w:rsidR="00A31AD6">
        <w:t xml:space="preserve">concerns </w:t>
      </w:r>
      <w:r>
        <w:t>regarding how beneficiaries served are being</w:t>
      </w:r>
      <w:r w:rsidR="005672B5">
        <w:t xml:space="preserve"> recorded and brings into question the accuracy of the data used for the analysis.</w:t>
      </w:r>
      <w:r w:rsidR="00134E50">
        <w:t xml:space="preserve"> It would be common sense to assume that people reached at the end of a project is very likely to be more or less than the targeted population at the project outset.</w:t>
      </w:r>
    </w:p>
    <w:p w14:paraId="04007B72" w14:textId="77777777" w:rsidR="00742DD1" w:rsidRDefault="005672B5" w:rsidP="00134E50">
      <w:pPr>
        <w:jc w:val="both"/>
      </w:pPr>
      <w:r>
        <w:t xml:space="preserve">The mapping undertaken in 2014 recorded </w:t>
      </w:r>
      <w:r w:rsidR="00A31AD6">
        <w:t>476</w:t>
      </w:r>
      <w:r>
        <w:t xml:space="preserve"> </w:t>
      </w:r>
      <w:r w:rsidR="00A31AD6">
        <w:t xml:space="preserve">compared with 303 </w:t>
      </w:r>
      <w:r>
        <w:t>pro</w:t>
      </w:r>
      <w:r w:rsidR="00134E50">
        <w:t xml:space="preserve">jects </w:t>
      </w:r>
      <w:r w:rsidR="00A31AD6">
        <w:t xml:space="preserve">mapped in 2012, the reason this was </w:t>
      </w:r>
      <w:r>
        <w:t>due primarily to improved reporting of past and present pro</w:t>
      </w:r>
      <w:r w:rsidR="00134E50">
        <w:t xml:space="preserve">jects (thanks to all participants) </w:t>
      </w:r>
      <w:r>
        <w:t xml:space="preserve">rather than a large increase in the number of </w:t>
      </w:r>
      <w:r w:rsidR="00A31AD6">
        <w:t xml:space="preserve">new </w:t>
      </w:r>
      <w:r>
        <w:t>pro</w:t>
      </w:r>
      <w:r w:rsidR="00134E50">
        <w:t xml:space="preserve">jects </w:t>
      </w:r>
      <w:r>
        <w:t>in the last 2 years.</w:t>
      </w:r>
      <w:r w:rsidR="00A31AD6">
        <w:t xml:space="preserve"> This raises some concerns regarding the comprehensive nature of the mapping, nevertheless, it is the best we have at this time</w:t>
      </w:r>
      <w:r w:rsidR="00E66455">
        <w:t xml:space="preserve"> and underlines in very strong terms our reach and scale of programming</w:t>
      </w:r>
      <w:r w:rsidR="00A31AD6">
        <w:t>.</w:t>
      </w:r>
    </w:p>
    <w:p w14:paraId="218C8501" w14:textId="77777777" w:rsidR="00736518" w:rsidRDefault="00736518" w:rsidP="00134E50">
      <w:pPr>
        <w:jc w:val="both"/>
      </w:pPr>
    </w:p>
    <w:p w14:paraId="26D740DF" w14:textId="77777777" w:rsidR="00736518" w:rsidRPr="00B91AAF" w:rsidRDefault="00736518" w:rsidP="00134E50">
      <w:pPr>
        <w:jc w:val="both"/>
        <w:rPr>
          <w:b/>
          <w:bCs/>
          <w:color w:val="FF0000"/>
          <w:sz w:val="24"/>
          <w:szCs w:val="28"/>
        </w:rPr>
      </w:pPr>
      <w:r w:rsidRPr="00B91AAF">
        <w:rPr>
          <w:b/>
          <w:bCs/>
          <w:color w:val="FF0000"/>
          <w:sz w:val="24"/>
          <w:szCs w:val="28"/>
        </w:rPr>
        <w:t>Sustainability and Impact:</w:t>
      </w:r>
    </w:p>
    <w:p w14:paraId="2AE065C2" w14:textId="77777777" w:rsidR="00736518" w:rsidRDefault="00736518" w:rsidP="004F5450">
      <w:pPr>
        <w:jc w:val="both"/>
      </w:pPr>
      <w:r>
        <w:t xml:space="preserve">This data provides an overview only of the scope and scale of GWSI programming. Evidence based measurement of sustainability and impact </w:t>
      </w:r>
      <w:r w:rsidR="004F5450">
        <w:t>is still for many projects required, and to that end we have encouraged post-project evaluations or reviews (such as the ‘look back’ study) more of which are being undertaken. This to ensure the quality of our programming and provide the basis for lessons to be learned in on-going or future programming - and as a marketing tool to prospective donors and partners.</w:t>
      </w:r>
    </w:p>
    <w:p w14:paraId="7DAC8689" w14:textId="77777777" w:rsidR="00B91AAF" w:rsidRDefault="004F5450" w:rsidP="004F5450">
      <w:pPr>
        <w:jc w:val="both"/>
      </w:pPr>
      <w:r>
        <w:t xml:space="preserve">A note on </w:t>
      </w:r>
      <w:proofErr w:type="spellStart"/>
      <w:r>
        <w:t>WatSan</w:t>
      </w:r>
      <w:proofErr w:type="spellEnd"/>
      <w:r>
        <w:t xml:space="preserve"> infrastructure sustainability – we are using the target of 70% sustainability after a minimum of five to ten years (interesting to note that </w:t>
      </w:r>
      <w:proofErr w:type="spellStart"/>
      <w:r>
        <w:t>DfiD</w:t>
      </w:r>
      <w:proofErr w:type="spellEnd"/>
      <w:r>
        <w:t xml:space="preserve"> is using a similar benchmark) </w:t>
      </w:r>
      <w:r w:rsidR="00B91AAF">
        <w:t xml:space="preserve">as a measure of success.  This target however may only realistically apply to the rural context where we normally have large numbers of small scale interventions – the same may not apply to urban contexts. </w:t>
      </w:r>
    </w:p>
    <w:p w14:paraId="5EB22569" w14:textId="77777777" w:rsidR="004F5450" w:rsidRDefault="00B91AAF" w:rsidP="004F5450">
      <w:pPr>
        <w:jc w:val="both"/>
      </w:pPr>
      <w:r>
        <w:t>Software sustainability, in short</w:t>
      </w:r>
      <w:r w:rsidRPr="00B91AAF">
        <w:rPr>
          <w:lang w:val="en-GB"/>
        </w:rPr>
        <w:t xml:space="preserve"> behavioural</w:t>
      </w:r>
      <w:r>
        <w:t xml:space="preserve"> change and CBM capacity over time is of course harder to capture but we have seen a significant move forward in this field in the standard approach to the ‘look-back’ study. A standard toolkit and guidance is available for this.</w:t>
      </w:r>
    </w:p>
    <w:p w14:paraId="73521FDB" w14:textId="77777777" w:rsidR="00625A0A" w:rsidRDefault="00625A0A" w:rsidP="00134E50">
      <w:pPr>
        <w:jc w:val="both"/>
      </w:pPr>
    </w:p>
    <w:p w14:paraId="309D1849" w14:textId="77777777" w:rsidR="00B91AAF" w:rsidRDefault="00B91AAF" w:rsidP="00134E50">
      <w:pPr>
        <w:jc w:val="both"/>
      </w:pPr>
    </w:p>
    <w:p w14:paraId="15B96896" w14:textId="77777777" w:rsidR="00B91AAF" w:rsidRDefault="00B91AAF" w:rsidP="00134E50">
      <w:pPr>
        <w:jc w:val="both"/>
      </w:pPr>
    </w:p>
    <w:p w14:paraId="04EE0196" w14:textId="77777777" w:rsidR="00B91AAF" w:rsidRDefault="00B91AAF" w:rsidP="00134E50">
      <w:pPr>
        <w:jc w:val="both"/>
      </w:pPr>
    </w:p>
    <w:p w14:paraId="39BF88B9" w14:textId="77777777" w:rsidR="00625A0A" w:rsidRPr="007801C3" w:rsidRDefault="004B3CA0" w:rsidP="004B3CA0">
      <w:pPr>
        <w:jc w:val="both"/>
      </w:pPr>
      <w:r>
        <w:t>Our t</w:t>
      </w:r>
      <w:r w:rsidR="00625A0A">
        <w:t>hanks to David Dalgado of British Red Cross for his assistance in compiling this data.</w:t>
      </w:r>
    </w:p>
    <w:sectPr w:rsidR="00625A0A" w:rsidRPr="007801C3" w:rsidSect="009B567D">
      <w:headerReference w:type="even" r:id="rId12"/>
      <w:headerReference w:type="default" r:id="rId13"/>
      <w:footerReference w:type="even" r:id="rId14"/>
      <w:footerReference w:type="default" r:id="rId15"/>
      <w:headerReference w:type="first" r:id="rId16"/>
      <w:footerReference w:type="first" r:id="rId17"/>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062D" w14:textId="77777777" w:rsidR="00B67ED1" w:rsidRDefault="00B67ED1">
      <w:r>
        <w:separator/>
      </w:r>
    </w:p>
    <w:p w14:paraId="7831B9D2" w14:textId="77777777" w:rsidR="00B67ED1" w:rsidRDefault="00B67ED1"/>
    <w:p w14:paraId="26B2A673" w14:textId="77777777" w:rsidR="00B67ED1" w:rsidRDefault="00B67ED1"/>
  </w:endnote>
  <w:endnote w:type="continuationSeparator" w:id="0">
    <w:p w14:paraId="0B5EC8F5" w14:textId="77777777" w:rsidR="00B67ED1" w:rsidRDefault="00B67ED1">
      <w:r>
        <w:continuationSeparator/>
      </w:r>
    </w:p>
    <w:p w14:paraId="4E5005E4" w14:textId="77777777" w:rsidR="00B67ED1" w:rsidRDefault="00B67ED1"/>
    <w:p w14:paraId="6EFEE014" w14:textId="77777777" w:rsidR="00B67ED1" w:rsidRDefault="00B67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3695" w14:textId="77777777" w:rsidR="00B91AAF" w:rsidRDefault="00B91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0ED2" w14:textId="77777777" w:rsidR="006A1F18" w:rsidRDefault="006A1F18">
    <w:pPr>
      <w:pStyle w:val="Footer"/>
    </w:pPr>
    <w:r>
      <w:rPr>
        <w:noProof/>
        <w:lang w:val="en-GB" w:eastAsia="en-GB"/>
      </w:rPr>
      <w:drawing>
        <wp:anchor distT="0" distB="0" distL="114300" distR="114300" simplePos="0" relativeHeight="251657216" behindDoc="0" locked="0" layoutInCell="1" allowOverlap="1" wp14:anchorId="47221E09" wp14:editId="02E715E4">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EF1F" w14:textId="77777777" w:rsidR="006A1F18" w:rsidRDefault="006A1F18">
    <w:pPr>
      <w:pStyle w:val="Footer"/>
    </w:pPr>
    <w:r>
      <w:rPr>
        <w:noProof/>
        <w:lang w:val="en-GB" w:eastAsia="en-GB"/>
      </w:rPr>
      <w:drawing>
        <wp:anchor distT="0" distB="0" distL="114300" distR="114300" simplePos="0" relativeHeight="251658240" behindDoc="0" locked="0" layoutInCell="1" allowOverlap="1" wp14:anchorId="763F7E67" wp14:editId="7CE1268F">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157C1" w14:textId="77777777" w:rsidR="00B67ED1" w:rsidRDefault="00B67ED1">
      <w:r>
        <w:separator/>
      </w:r>
    </w:p>
    <w:p w14:paraId="5A908A03" w14:textId="77777777" w:rsidR="00B67ED1" w:rsidRDefault="00B67ED1"/>
    <w:p w14:paraId="760B7B84" w14:textId="77777777" w:rsidR="00B67ED1" w:rsidRDefault="00B67ED1"/>
  </w:footnote>
  <w:footnote w:type="continuationSeparator" w:id="0">
    <w:p w14:paraId="3D7BD986" w14:textId="77777777" w:rsidR="00B67ED1" w:rsidRDefault="00B67ED1">
      <w:r>
        <w:continuationSeparator/>
      </w:r>
    </w:p>
    <w:p w14:paraId="5354B80E" w14:textId="77777777" w:rsidR="00B67ED1" w:rsidRDefault="00B67ED1"/>
    <w:p w14:paraId="7425CAC6" w14:textId="77777777" w:rsidR="00B67ED1" w:rsidRDefault="00B67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B7A3" w14:textId="77777777" w:rsidR="006A1F18" w:rsidRDefault="006A1F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BDBD" w14:textId="77777777" w:rsidR="00B91AAF" w:rsidRPr="00B91AAF" w:rsidRDefault="006A1F18" w:rsidP="00B91AAF">
    <w:pPr>
      <w:pStyle w:val="Projectsubtitle"/>
      <w:rPr>
        <w:color w:val="002060"/>
      </w:rPr>
    </w:pPr>
    <w:r w:rsidRPr="00895C69">
      <w:rPr>
        <w:rFonts w:ascii="Arial" w:hAnsi="Arial" w:cs="Caecilia-Light"/>
        <w:color w:val="FF0000"/>
        <w:sz w:val="16"/>
        <w:szCs w:val="14"/>
      </w:rPr>
      <w:t>International Federation of Red Cross and Red Crescent Societies</w:t>
    </w:r>
    <w:r w:rsidRPr="00895C69">
      <w:rPr>
        <w:rFonts w:ascii="Arial" w:hAnsi="Arial" w:cs="Caecilia-Light"/>
        <w:color w:val="FF0000"/>
        <w:sz w:val="16"/>
        <w:szCs w:val="14"/>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B91AAF">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00B91AAF" w:rsidRPr="00B91AAF">
      <w:rPr>
        <w:rStyle w:val="Hyperlink"/>
        <w:color w:val="002060"/>
        <w:u w:val="none"/>
      </w:rPr>
      <w:t xml:space="preserve"> GWSI / Global </w:t>
    </w:r>
    <w:r w:rsidR="00B91AAF" w:rsidRPr="00B91AAF">
      <w:rPr>
        <w:color w:val="002060"/>
      </w:rPr>
      <w:t>/ 25</w:t>
    </w:r>
    <w:r w:rsidR="00B91AAF" w:rsidRPr="00B91AAF">
      <w:rPr>
        <w:color w:val="002060"/>
        <w:vertAlign w:val="superscript"/>
      </w:rPr>
      <w:t>th</w:t>
    </w:r>
    <w:r w:rsidR="00B91AAF" w:rsidRPr="00B91AAF">
      <w:rPr>
        <w:color w:val="002060"/>
      </w:rPr>
      <w:t xml:space="preserve"> August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F56B" w14:textId="77777777" w:rsidR="00B91AAF" w:rsidRDefault="00B91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C21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902F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D080F14"/>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03D0963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C8C4E5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37EF20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327E52E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526E9C6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1"/>
    <w:multiLevelType w:val="hybridMultilevel"/>
    <w:tmpl w:val="F5E63CE4"/>
    <w:lvl w:ilvl="0" w:tplc="6F42955A">
      <w:numFmt w:val="none"/>
      <w:lvlText w:val=""/>
      <w:lvlJc w:val="left"/>
      <w:pPr>
        <w:tabs>
          <w:tab w:val="num" w:pos="360"/>
        </w:tabs>
      </w:pPr>
    </w:lvl>
    <w:lvl w:ilvl="1" w:tplc="210418E0">
      <w:numFmt w:val="decimal"/>
      <w:lvlText w:val=""/>
      <w:lvlJc w:val="left"/>
    </w:lvl>
    <w:lvl w:ilvl="2" w:tplc="C526D2D4">
      <w:numFmt w:val="decimal"/>
      <w:lvlText w:val=""/>
      <w:lvlJc w:val="left"/>
    </w:lvl>
    <w:lvl w:ilvl="3" w:tplc="C4BE6286">
      <w:numFmt w:val="decimal"/>
      <w:lvlText w:val=""/>
      <w:lvlJc w:val="left"/>
    </w:lvl>
    <w:lvl w:ilvl="4" w:tplc="3C0AB8EA">
      <w:numFmt w:val="decimal"/>
      <w:lvlText w:val=""/>
      <w:lvlJc w:val="left"/>
    </w:lvl>
    <w:lvl w:ilvl="5" w:tplc="5718CB82">
      <w:numFmt w:val="decimal"/>
      <w:lvlText w:val=""/>
      <w:lvlJc w:val="left"/>
    </w:lvl>
    <w:lvl w:ilvl="6" w:tplc="F16C5156">
      <w:numFmt w:val="decimal"/>
      <w:lvlText w:val=""/>
      <w:lvlJc w:val="left"/>
    </w:lvl>
    <w:lvl w:ilvl="7" w:tplc="B69ADEEE">
      <w:numFmt w:val="decimal"/>
      <w:lvlText w:val=""/>
      <w:lvlJc w:val="left"/>
    </w:lvl>
    <w:lvl w:ilvl="8" w:tplc="F6FA69EA">
      <w:numFmt w:val="decimal"/>
      <w:lvlText w:val=""/>
      <w:lvlJc w:val="left"/>
    </w:lvl>
  </w:abstractNum>
  <w:abstractNum w:abstractNumId="9" w15:restartNumberingAfterBreak="0">
    <w:nsid w:val="08207195"/>
    <w:multiLevelType w:val="hybridMultilevel"/>
    <w:tmpl w:val="45843F9E"/>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15:restartNumberingAfterBreak="0">
    <w:nsid w:val="0F543DD3"/>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1" w15:restartNumberingAfterBreak="0">
    <w:nsid w:val="11C27408"/>
    <w:multiLevelType w:val="hybridMultilevel"/>
    <w:tmpl w:val="88CC92C0"/>
    <w:lvl w:ilvl="0" w:tplc="34C0F914">
      <w:start w:val="1"/>
      <w:numFmt w:val="decimalZero"/>
      <w:lvlText w:val="%1."/>
      <w:lvlJc w:val="left"/>
      <w:pPr>
        <w:ind w:left="116" w:hanging="40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151D340A"/>
    <w:multiLevelType w:val="hybridMultilevel"/>
    <w:tmpl w:val="2E04D66C"/>
    <w:lvl w:ilvl="0" w:tplc="4FA60514">
      <w:start w:val="1"/>
      <w:numFmt w:val="decimalZero"/>
      <w:lvlText w:val="%1."/>
      <w:lvlJc w:val="left"/>
      <w:pPr>
        <w:ind w:left="-734" w:hanging="400"/>
      </w:pPr>
      <w:rPr>
        <w:rFonts w:hint="default"/>
        <w:color w:val="FF000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 w15:restartNumberingAfterBreak="0">
    <w:nsid w:val="152847B1"/>
    <w:multiLevelType w:val="multilevel"/>
    <w:tmpl w:val="CE8EC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6D0F1B"/>
    <w:multiLevelType w:val="multilevel"/>
    <w:tmpl w:val="01E6414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1351DA"/>
    <w:multiLevelType w:val="hybridMultilevel"/>
    <w:tmpl w:val="6942601C"/>
    <w:lvl w:ilvl="0" w:tplc="6C2EC3E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20B209FD"/>
    <w:multiLevelType w:val="hybridMultilevel"/>
    <w:tmpl w:val="B5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036A5"/>
    <w:multiLevelType w:val="hybridMultilevel"/>
    <w:tmpl w:val="7048F6FE"/>
    <w:lvl w:ilvl="0" w:tplc="092EA76E">
      <w:start w:val="1"/>
      <w:numFmt w:val="decimalZero"/>
      <w:lvlText w:val="%1."/>
      <w:lvlJc w:val="left"/>
      <w:pPr>
        <w:ind w:left="258" w:hanging="400"/>
      </w:pPr>
      <w:rPr>
        <w:rFonts w:ascii="Arial Bold" w:hAnsi="Arial Bold" w:hint="default"/>
        <w:b w:val="0"/>
        <w:i w:val="0"/>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93F43"/>
    <w:multiLevelType w:val="hybridMultilevel"/>
    <w:tmpl w:val="4204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307A6A"/>
    <w:multiLevelType w:val="hybridMultilevel"/>
    <w:tmpl w:val="75FA6630"/>
    <w:lvl w:ilvl="0" w:tplc="D8D603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E46D7"/>
    <w:multiLevelType w:val="hybridMultilevel"/>
    <w:tmpl w:val="C908D99E"/>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E5EC5"/>
    <w:multiLevelType w:val="hybridMultilevel"/>
    <w:tmpl w:val="D82CA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622518"/>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4" w15:restartNumberingAfterBreak="0">
    <w:nsid w:val="44734280"/>
    <w:multiLevelType w:val="hybridMultilevel"/>
    <w:tmpl w:val="F4A61B5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5" w15:restartNumberingAfterBreak="0">
    <w:nsid w:val="4CAE61FF"/>
    <w:multiLevelType w:val="hybridMultilevel"/>
    <w:tmpl w:val="7E504888"/>
    <w:lvl w:ilvl="0" w:tplc="4FA60514">
      <w:start w:val="1"/>
      <w:numFmt w:val="decimalZero"/>
      <w:lvlText w:val="%1."/>
      <w:lvlJc w:val="left"/>
      <w:pPr>
        <w:ind w:left="-167" w:hanging="40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7" w15:restartNumberingAfterBreak="0">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F3A94"/>
    <w:multiLevelType w:val="hybridMultilevel"/>
    <w:tmpl w:val="1ED2D186"/>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9" w15:restartNumberingAfterBreak="0">
    <w:nsid w:val="528A451C"/>
    <w:multiLevelType w:val="hybridMultilevel"/>
    <w:tmpl w:val="C670614C"/>
    <w:lvl w:ilvl="0" w:tplc="3B8E0F4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351A1"/>
    <w:multiLevelType w:val="hybridMultilevel"/>
    <w:tmpl w:val="DE06162C"/>
    <w:lvl w:ilvl="0" w:tplc="DC46E6F4">
      <w:start w:val="1"/>
      <w:numFmt w:val="decimalZero"/>
      <w:lvlText w:val="%1."/>
      <w:lvlJc w:val="left"/>
      <w:pPr>
        <w:ind w:left="320" w:hanging="360"/>
      </w:pPr>
      <w:rPr>
        <w:rFonts w:hint="default"/>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1" w15:restartNumberingAfterBreak="0">
    <w:nsid w:val="59B53A2B"/>
    <w:multiLevelType w:val="hybridMultilevel"/>
    <w:tmpl w:val="7F1025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9D5F49"/>
    <w:multiLevelType w:val="hybridMultilevel"/>
    <w:tmpl w:val="94F2878C"/>
    <w:lvl w:ilvl="0" w:tplc="AABC91F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3" w15:restartNumberingAfterBreak="0">
    <w:nsid w:val="64640A18"/>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34" w15:restartNumberingAfterBreak="0">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C31761"/>
    <w:multiLevelType w:val="hybridMultilevel"/>
    <w:tmpl w:val="D4207B0E"/>
    <w:lvl w:ilvl="0" w:tplc="3A5665CE">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C7570"/>
    <w:multiLevelType w:val="hybridMultilevel"/>
    <w:tmpl w:val="E7A061E2"/>
    <w:lvl w:ilvl="0" w:tplc="827E934A">
      <w:start w:val="1"/>
      <w:numFmt w:val="decimalZero"/>
      <w:lvlText w:val="%1."/>
      <w:lvlJc w:val="left"/>
      <w:pPr>
        <w:ind w:left="400" w:hanging="40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8" w15:restartNumberingAfterBreak="0">
    <w:nsid w:val="75E3454A"/>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9" w15:restartNumberingAfterBreak="0">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D106D"/>
    <w:multiLevelType w:val="hybridMultilevel"/>
    <w:tmpl w:val="92EA95A8"/>
    <w:lvl w:ilvl="0" w:tplc="F378E048">
      <w:start w:val="1"/>
      <w:numFmt w:val="decimalZero"/>
      <w:lvlText w:val="%1."/>
      <w:lvlJc w:val="left"/>
      <w:pPr>
        <w:ind w:left="320" w:hanging="360"/>
      </w:pPr>
      <w:rPr>
        <w:rFonts w:hint="default"/>
        <w:b/>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26"/>
  </w:num>
  <w:num w:numId="2">
    <w:abstractNumId w:val="34"/>
  </w:num>
  <w:num w:numId="3">
    <w:abstractNumId w:val="19"/>
  </w:num>
  <w:num w:numId="4">
    <w:abstractNumId w:val="31"/>
  </w:num>
  <w:num w:numId="5">
    <w:abstractNumId w:val="20"/>
  </w:num>
  <w:num w:numId="6">
    <w:abstractNumId w:val="29"/>
  </w:num>
  <w:num w:numId="7">
    <w:abstractNumId w:val="16"/>
  </w:num>
  <w:num w:numId="8">
    <w:abstractNumId w:val="8"/>
  </w:num>
  <w:num w:numId="9">
    <w:abstractNumId w:val="21"/>
  </w:num>
  <w:num w:numId="10">
    <w:abstractNumId w:val="12"/>
  </w:num>
  <w:num w:numId="11">
    <w:abstractNumId w:val="28"/>
  </w:num>
  <w:num w:numId="12">
    <w:abstractNumId w:val="25"/>
  </w:num>
  <w:num w:numId="13">
    <w:abstractNumId w:val="9"/>
  </w:num>
  <w:num w:numId="14">
    <w:abstractNumId w:val="37"/>
  </w:num>
  <w:num w:numId="15">
    <w:abstractNumId w:val="24"/>
  </w:num>
  <w:num w:numId="16">
    <w:abstractNumId w:val="18"/>
  </w:num>
  <w:num w:numId="17">
    <w:abstractNumId w:val="11"/>
  </w:num>
  <w:num w:numId="18">
    <w:abstractNumId w:val="15"/>
  </w:num>
  <w:num w:numId="19">
    <w:abstractNumId w:val="32"/>
  </w:num>
  <w:num w:numId="20">
    <w:abstractNumId w:val="38"/>
  </w:num>
  <w:num w:numId="21">
    <w:abstractNumId w:val="23"/>
  </w:num>
  <w:num w:numId="22">
    <w:abstractNumId w:val="30"/>
  </w:num>
  <w:num w:numId="23">
    <w:abstractNumId w:val="40"/>
  </w:num>
  <w:num w:numId="24">
    <w:abstractNumId w:val="22"/>
  </w:num>
  <w:num w:numId="25">
    <w:abstractNumId w:val="7"/>
  </w:num>
  <w:num w:numId="26">
    <w:abstractNumId w:val="4"/>
  </w:num>
  <w:num w:numId="27">
    <w:abstractNumId w:val="3"/>
  </w:num>
  <w:num w:numId="28">
    <w:abstractNumId w:val="2"/>
  </w:num>
  <w:num w:numId="29">
    <w:abstractNumId w:val="1"/>
  </w:num>
  <w:num w:numId="30">
    <w:abstractNumId w:val="17"/>
  </w:num>
  <w:num w:numId="31">
    <w:abstractNumId w:val="10"/>
  </w:num>
  <w:num w:numId="32">
    <w:abstractNumId w:val="6"/>
  </w:num>
  <w:num w:numId="33">
    <w:abstractNumId w:val="5"/>
  </w:num>
  <w:num w:numId="34">
    <w:abstractNumId w:val="13"/>
  </w:num>
  <w:num w:numId="35">
    <w:abstractNumId w:val="36"/>
  </w:num>
  <w:num w:numId="36">
    <w:abstractNumId w:val="33"/>
  </w:num>
  <w:num w:numId="37">
    <w:abstractNumId w:val="20"/>
  </w:num>
  <w:num w:numId="38">
    <w:abstractNumId w:val="36"/>
  </w:num>
  <w:num w:numId="39">
    <w:abstractNumId w:val="17"/>
  </w:num>
  <w:num w:numId="40">
    <w:abstractNumId w:val="0"/>
  </w:num>
  <w:num w:numId="41">
    <w:abstractNumId w:val="14"/>
  </w:num>
  <w:num w:numId="42">
    <w:abstractNumId w:val="27"/>
  </w:num>
  <w:num w:numId="43">
    <w:abstractNumId w:val="3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115"/>
    <w:rsid w:val="00102F65"/>
    <w:rsid w:val="001202B1"/>
    <w:rsid w:val="00134E50"/>
    <w:rsid w:val="00253000"/>
    <w:rsid w:val="002942E3"/>
    <w:rsid w:val="00323B26"/>
    <w:rsid w:val="003505B2"/>
    <w:rsid w:val="003C60AA"/>
    <w:rsid w:val="003E0BA4"/>
    <w:rsid w:val="0043738D"/>
    <w:rsid w:val="004B3CA0"/>
    <w:rsid w:val="004F0CFF"/>
    <w:rsid w:val="004F2751"/>
    <w:rsid w:val="004F5450"/>
    <w:rsid w:val="0053382B"/>
    <w:rsid w:val="00545115"/>
    <w:rsid w:val="005672B5"/>
    <w:rsid w:val="005F3B34"/>
    <w:rsid w:val="00625A0A"/>
    <w:rsid w:val="00652C47"/>
    <w:rsid w:val="00676F08"/>
    <w:rsid w:val="00692203"/>
    <w:rsid w:val="006A1F18"/>
    <w:rsid w:val="00701130"/>
    <w:rsid w:val="00732E73"/>
    <w:rsid w:val="00736518"/>
    <w:rsid w:val="00742DD1"/>
    <w:rsid w:val="007801C3"/>
    <w:rsid w:val="007B6397"/>
    <w:rsid w:val="007C668E"/>
    <w:rsid w:val="007E55C6"/>
    <w:rsid w:val="00965F77"/>
    <w:rsid w:val="00972D10"/>
    <w:rsid w:val="009854E5"/>
    <w:rsid w:val="009B567D"/>
    <w:rsid w:val="00A31AD6"/>
    <w:rsid w:val="00A9417C"/>
    <w:rsid w:val="00B460A7"/>
    <w:rsid w:val="00B67ED1"/>
    <w:rsid w:val="00B91AAF"/>
    <w:rsid w:val="00BE2CFD"/>
    <w:rsid w:val="00E632D9"/>
    <w:rsid w:val="00E66455"/>
    <w:rsid w:val="00EA7C6D"/>
    <w:rsid w:val="00F534B6"/>
    <w:rsid w:val="00F557D4"/>
    <w:rsid w:val="00F94139"/>
    <w:rsid w:val="00FF114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6D2CB"/>
  <w15:docId w15:val="{19541B79-A8C4-4FBE-8EAB-78E3ECBA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732E73"/>
    <w:pPr>
      <w:spacing w:before="0"/>
    </w:pPr>
    <w:rPr>
      <w:rFonts w:ascii="Tahoma" w:hAnsi="Tahoma" w:cs="Tahoma"/>
      <w:sz w:val="16"/>
      <w:szCs w:val="16"/>
    </w:rPr>
  </w:style>
  <w:style w:type="character" w:customStyle="1" w:styleId="BalloonTextChar">
    <w:name w:val="Balloon Text Char"/>
    <w:basedOn w:val="DefaultParagraphFont"/>
    <w:link w:val="BalloonText"/>
    <w:rsid w:val="00732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4157">
      <w:bodyDiv w:val="1"/>
      <w:marLeft w:val="0"/>
      <w:marRight w:val="0"/>
      <w:marTop w:val="0"/>
      <w:marBottom w:val="0"/>
      <w:divBdr>
        <w:top w:val="none" w:sz="0" w:space="0" w:color="auto"/>
        <w:left w:val="none" w:sz="0" w:space="0" w:color="auto"/>
        <w:bottom w:val="none" w:sz="0" w:space="0" w:color="auto"/>
        <w:right w:val="none" w:sz="0" w:space="0" w:color="auto"/>
      </w:divBdr>
    </w:div>
    <w:div w:id="374549440">
      <w:bodyDiv w:val="1"/>
      <w:marLeft w:val="0"/>
      <w:marRight w:val="0"/>
      <w:marTop w:val="0"/>
      <w:marBottom w:val="0"/>
      <w:divBdr>
        <w:top w:val="none" w:sz="0" w:space="0" w:color="auto"/>
        <w:left w:val="none" w:sz="0" w:space="0" w:color="auto"/>
        <w:bottom w:val="none" w:sz="0" w:space="0" w:color="auto"/>
        <w:right w:val="none" w:sz="0" w:space="0" w:color="auto"/>
      </w:divBdr>
    </w:div>
    <w:div w:id="655189566">
      <w:bodyDiv w:val="1"/>
      <w:marLeft w:val="0"/>
      <w:marRight w:val="0"/>
      <w:marTop w:val="0"/>
      <w:marBottom w:val="0"/>
      <w:divBdr>
        <w:top w:val="none" w:sz="0" w:space="0" w:color="auto"/>
        <w:left w:val="none" w:sz="0" w:space="0" w:color="auto"/>
        <w:bottom w:val="none" w:sz="0" w:space="0" w:color="auto"/>
        <w:right w:val="none" w:sz="0" w:space="0" w:color="auto"/>
      </w:divBdr>
    </w:div>
    <w:div w:id="810364006">
      <w:bodyDiv w:val="1"/>
      <w:marLeft w:val="0"/>
      <w:marRight w:val="0"/>
      <w:marTop w:val="0"/>
      <w:marBottom w:val="0"/>
      <w:divBdr>
        <w:top w:val="none" w:sz="0" w:space="0" w:color="auto"/>
        <w:left w:val="none" w:sz="0" w:space="0" w:color="auto"/>
        <w:bottom w:val="none" w:sz="0" w:space="0" w:color="auto"/>
        <w:right w:val="none" w:sz="0" w:space="0" w:color="auto"/>
      </w:divBdr>
    </w:div>
    <w:div w:id="1253246629">
      <w:bodyDiv w:val="1"/>
      <w:marLeft w:val="0"/>
      <w:marRight w:val="0"/>
      <w:marTop w:val="0"/>
      <w:marBottom w:val="0"/>
      <w:divBdr>
        <w:top w:val="none" w:sz="0" w:space="0" w:color="auto"/>
        <w:left w:val="none" w:sz="0" w:space="0" w:color="auto"/>
        <w:bottom w:val="none" w:sz="0" w:space="0" w:color="auto"/>
        <w:right w:val="none" w:sz="0" w:space="0" w:color="auto"/>
      </w:divBdr>
    </w:div>
    <w:div w:id="1271818356">
      <w:bodyDiv w:val="1"/>
      <w:marLeft w:val="0"/>
      <w:marRight w:val="0"/>
      <w:marTop w:val="0"/>
      <w:marBottom w:val="0"/>
      <w:divBdr>
        <w:top w:val="none" w:sz="0" w:space="0" w:color="auto"/>
        <w:left w:val="none" w:sz="0" w:space="0" w:color="auto"/>
        <w:bottom w:val="none" w:sz="0" w:space="0" w:color="auto"/>
        <w:right w:val="none" w:sz="0" w:space="0" w:color="auto"/>
      </w:divBdr>
    </w:div>
    <w:div w:id="1507670877">
      <w:bodyDiv w:val="1"/>
      <w:marLeft w:val="0"/>
      <w:marRight w:val="0"/>
      <w:marTop w:val="0"/>
      <w:marBottom w:val="0"/>
      <w:divBdr>
        <w:top w:val="none" w:sz="0" w:space="0" w:color="auto"/>
        <w:left w:val="none" w:sz="0" w:space="0" w:color="auto"/>
        <w:bottom w:val="none" w:sz="0" w:space="0" w:color="auto"/>
        <w:right w:val="none" w:sz="0" w:space="0" w:color="auto"/>
      </w:divBdr>
    </w:div>
    <w:div w:id="1732541229">
      <w:bodyDiv w:val="1"/>
      <w:marLeft w:val="0"/>
      <w:marRight w:val="0"/>
      <w:marTop w:val="0"/>
      <w:marBottom w:val="0"/>
      <w:divBdr>
        <w:top w:val="none" w:sz="0" w:space="0" w:color="auto"/>
        <w:left w:val="none" w:sz="0" w:space="0" w:color="auto"/>
        <w:bottom w:val="none" w:sz="0" w:space="0" w:color="auto"/>
        <w:right w:val="none" w:sz="0" w:space="0" w:color="auto"/>
      </w:divBdr>
    </w:div>
    <w:div w:id="2029943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FRC%20Reference\IFRC%20Templates\IFRC%20EN%20Templates\IFRC-generic-template-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vaqprdfs01\shared\health\14%20WatSan-EH\Global%20WatSan%20Initiative%20(GWSI)\GWSI%20Mapping%202014\DD%20Analysis_June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vaqprdfs01\shared\health\14%20WatSan-EH\Global%20WatSan%20Initiative%20(GWSI)\GWSI%20Mapping%202014\DD%20Analysis_June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vaqprdfs01\shared\health\14%20WatSan-EH\Global%20WatSan%20Initiative%20(GWSI)\GWSI%20Mapping%202014\DD%20Analysis_June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vaqprdfs01\shared\health\14%20WatSan-EH\Global%20WatSan%20Initiative%20(GWSI)\GWSI%20Mapping%202014\DD%20Analysis_June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vaqprdfs01\shared\health\14%20WatSan-EH\Global%20WatSan%20Initiative%20(GWSI)\GWSI%20Mapping%202014\DD%20Analysis_June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c:spPr>
            <c:extLst>
              <c:ext xmlns:c16="http://schemas.microsoft.com/office/drawing/2014/chart" uri="{C3380CC4-5D6E-409C-BE32-E72D297353CC}">
                <c16:uniqueId val="{00000001-29B3-49A4-A8A3-2D18C1ED6D7B}"/>
              </c:ext>
            </c:extLst>
          </c:dPt>
          <c:dPt>
            <c:idx val="1"/>
            <c:bubble3D val="0"/>
            <c:spPr>
              <a:solidFill>
                <a:schemeClr val="accent1">
                  <a:lumMod val="60000"/>
                  <a:lumOff val="40000"/>
                </a:schemeClr>
              </a:solidFill>
            </c:spPr>
            <c:extLst>
              <c:ext xmlns:c16="http://schemas.microsoft.com/office/drawing/2014/chart" uri="{C3380CC4-5D6E-409C-BE32-E72D297353CC}">
                <c16:uniqueId val="{00000003-29B3-49A4-A8A3-2D18C1ED6D7B}"/>
              </c:ext>
            </c:extLst>
          </c:dPt>
          <c:dPt>
            <c:idx val="2"/>
            <c:bubble3D val="0"/>
            <c:spPr>
              <a:solidFill>
                <a:srgbClr val="FF0000"/>
              </a:solidFill>
            </c:spPr>
            <c:extLst>
              <c:ext xmlns:c16="http://schemas.microsoft.com/office/drawing/2014/chart" uri="{C3380CC4-5D6E-409C-BE32-E72D297353CC}">
                <c16:uniqueId val="{00000005-29B3-49A4-A8A3-2D18C1ED6D7B}"/>
              </c:ext>
            </c:extLst>
          </c:dPt>
          <c:dLbls>
            <c:spPr>
              <a:noFill/>
              <a:ln>
                <a:noFill/>
              </a:ln>
              <a:effectLst/>
            </c:spPr>
            <c:txPr>
              <a:bodyPr/>
              <a:lstStyle/>
              <a:p>
                <a:pPr>
                  <a:defRPr b="1"/>
                </a:pPr>
                <a:endParaRPr lang="en-CH"/>
              </a:p>
            </c:txPr>
            <c:showLegendKey val="0"/>
            <c:showVal val="0"/>
            <c:showCatName val="0"/>
            <c:showSerName val="0"/>
            <c:showPercent val="1"/>
            <c:showBubbleSize val="0"/>
            <c:showLeaderLines val="1"/>
            <c:extLst>
              <c:ext xmlns:c15="http://schemas.microsoft.com/office/drawing/2012/chart" uri="{CE6537A1-D6FC-4f65-9D91-7224C49458BB}"/>
            </c:extLst>
          </c:dLbls>
          <c:cat>
            <c:strRef>
              <c:f>Data!$Z$3:$AB$3</c:f>
              <c:strCache>
                <c:ptCount val="3"/>
                <c:pt idx="0">
                  <c:v>&lt;5000</c:v>
                </c:pt>
                <c:pt idx="1">
                  <c:v>5,000-20,000</c:v>
                </c:pt>
                <c:pt idx="2">
                  <c:v>&gt;20,000</c:v>
                </c:pt>
              </c:strCache>
            </c:strRef>
          </c:cat>
          <c:val>
            <c:numRef>
              <c:f>Data!$Z$4:$AB$4</c:f>
              <c:numCache>
                <c:formatCode>#,##0_ ;\-#,##0\ </c:formatCode>
                <c:ptCount val="3"/>
                <c:pt idx="0">
                  <c:v>79</c:v>
                </c:pt>
                <c:pt idx="1">
                  <c:v>121</c:v>
                </c:pt>
                <c:pt idx="2">
                  <c:v>147</c:v>
                </c:pt>
              </c:numCache>
            </c:numRef>
          </c:val>
          <c:extLst>
            <c:ext xmlns:c16="http://schemas.microsoft.com/office/drawing/2014/chart" uri="{C3380CC4-5D6E-409C-BE32-E72D297353CC}">
              <c16:uniqueId val="{00000006-29B3-49A4-A8A3-2D18C1ED6D7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Number</a:t>
            </a:r>
            <a:r>
              <a:rPr lang="en-US" baseline="0"/>
              <a:t> of projects by Zone</a:t>
            </a:r>
            <a:endParaRPr lang="en-US"/>
          </a:p>
        </c:rich>
      </c:tx>
      <c:overlay val="0"/>
    </c:title>
    <c:autoTitleDeleted val="0"/>
    <c:plotArea>
      <c:layout/>
      <c:barChart>
        <c:barDir val="col"/>
        <c:grouping val="clustered"/>
        <c:varyColors val="0"/>
        <c:ser>
          <c:idx val="0"/>
          <c:order val="0"/>
          <c:tx>
            <c:strRef>
              <c:f>CountByZone!$B$13</c:f>
              <c:strCache>
                <c:ptCount val="1"/>
                <c:pt idx="0">
                  <c:v>Number of Programmes per Zone</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1-665F-42F4-AC69-50691A2ABE9A}"/>
              </c:ext>
            </c:extLst>
          </c:dPt>
          <c:dPt>
            <c:idx val="2"/>
            <c:invertIfNegative val="0"/>
            <c:bubble3D val="0"/>
            <c:spPr>
              <a:solidFill>
                <a:srgbClr val="FF0000"/>
              </a:solidFill>
            </c:spPr>
            <c:extLst>
              <c:ext xmlns:c16="http://schemas.microsoft.com/office/drawing/2014/chart" uri="{C3380CC4-5D6E-409C-BE32-E72D297353CC}">
                <c16:uniqueId val="{00000003-665F-42F4-AC69-50691A2ABE9A}"/>
              </c:ext>
            </c:extLst>
          </c:dPt>
          <c:dPt>
            <c:idx val="3"/>
            <c:invertIfNegative val="0"/>
            <c:bubble3D val="0"/>
            <c:spPr>
              <a:solidFill>
                <a:srgbClr val="7030A0"/>
              </a:solidFill>
            </c:spPr>
            <c:extLst>
              <c:ext xmlns:c16="http://schemas.microsoft.com/office/drawing/2014/chart" uri="{C3380CC4-5D6E-409C-BE32-E72D297353CC}">
                <c16:uniqueId val="{00000005-665F-42F4-AC69-50691A2ABE9A}"/>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CountByZone!$A$14:$A$17</c:f>
              <c:strCache>
                <c:ptCount val="4"/>
                <c:pt idx="0">
                  <c:v>Africa</c:v>
                </c:pt>
                <c:pt idx="1">
                  <c:v>Americas</c:v>
                </c:pt>
                <c:pt idx="2">
                  <c:v>Asia Pacific</c:v>
                </c:pt>
                <c:pt idx="3">
                  <c:v>MENA</c:v>
                </c:pt>
              </c:strCache>
            </c:strRef>
          </c:cat>
          <c:val>
            <c:numRef>
              <c:f>CountByZone!$B$14:$B$17</c:f>
              <c:numCache>
                <c:formatCode>General</c:formatCode>
                <c:ptCount val="4"/>
                <c:pt idx="0">
                  <c:v>201</c:v>
                </c:pt>
                <c:pt idx="1">
                  <c:v>64</c:v>
                </c:pt>
                <c:pt idx="2">
                  <c:v>207</c:v>
                </c:pt>
                <c:pt idx="3">
                  <c:v>4</c:v>
                </c:pt>
              </c:numCache>
            </c:numRef>
          </c:val>
          <c:extLst>
            <c:ext xmlns:c16="http://schemas.microsoft.com/office/drawing/2014/chart" uri="{C3380CC4-5D6E-409C-BE32-E72D297353CC}">
              <c16:uniqueId val="{00000006-665F-42F4-AC69-50691A2ABE9A}"/>
            </c:ext>
          </c:extLst>
        </c:ser>
        <c:dLbls>
          <c:showLegendKey val="0"/>
          <c:showVal val="0"/>
          <c:showCatName val="0"/>
          <c:showSerName val="0"/>
          <c:showPercent val="0"/>
          <c:showBubbleSize val="0"/>
        </c:dLbls>
        <c:gapWidth val="150"/>
        <c:axId val="38467072"/>
        <c:axId val="38468608"/>
      </c:barChart>
      <c:catAx>
        <c:axId val="38467072"/>
        <c:scaling>
          <c:orientation val="minMax"/>
        </c:scaling>
        <c:delete val="0"/>
        <c:axPos val="b"/>
        <c:numFmt formatCode="General" sourceLinked="0"/>
        <c:majorTickMark val="out"/>
        <c:minorTickMark val="none"/>
        <c:tickLblPos val="nextTo"/>
        <c:crossAx val="38468608"/>
        <c:crosses val="autoZero"/>
        <c:auto val="1"/>
        <c:lblAlgn val="ctr"/>
        <c:lblOffset val="100"/>
        <c:noMultiLvlLbl val="0"/>
      </c:catAx>
      <c:valAx>
        <c:axId val="38468608"/>
        <c:scaling>
          <c:orientation val="minMax"/>
        </c:scaling>
        <c:delete val="0"/>
        <c:axPos val="l"/>
        <c:majorGridlines/>
        <c:numFmt formatCode="General" sourceLinked="1"/>
        <c:majorTickMark val="out"/>
        <c:minorTickMark val="none"/>
        <c:tickLblPos val="nextTo"/>
        <c:crossAx val="384670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Sum Beneficiaries Served by</a:t>
            </a:r>
            <a:r>
              <a:rPr lang="en-US" baseline="0"/>
              <a:t> Zone</a:t>
            </a:r>
            <a:endParaRPr lang="en-US"/>
          </a:p>
        </c:rich>
      </c:tx>
      <c:overlay val="0"/>
    </c:title>
    <c:autoTitleDeleted val="0"/>
    <c:plotArea>
      <c:layout/>
      <c:barChart>
        <c:barDir val="col"/>
        <c:grouping val="clustered"/>
        <c:varyColors val="0"/>
        <c:ser>
          <c:idx val="0"/>
          <c:order val="0"/>
          <c:tx>
            <c:strRef>
              <c:f>CountByZone!$B$27</c:f>
              <c:strCache>
                <c:ptCount val="1"/>
                <c:pt idx="0">
                  <c:v>Sum of Max of Water and Sanitation Served</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1-3308-4E53-8C5D-1DDF1CFA83B3}"/>
              </c:ext>
            </c:extLst>
          </c:dPt>
          <c:dPt>
            <c:idx val="2"/>
            <c:invertIfNegative val="0"/>
            <c:bubble3D val="0"/>
            <c:spPr>
              <a:solidFill>
                <a:srgbClr val="FF0000"/>
              </a:solidFill>
            </c:spPr>
            <c:extLst>
              <c:ext xmlns:c16="http://schemas.microsoft.com/office/drawing/2014/chart" uri="{C3380CC4-5D6E-409C-BE32-E72D297353CC}">
                <c16:uniqueId val="{00000003-3308-4E53-8C5D-1DDF1CFA83B3}"/>
              </c:ext>
            </c:extLst>
          </c:dPt>
          <c:dPt>
            <c:idx val="3"/>
            <c:invertIfNegative val="0"/>
            <c:bubble3D val="0"/>
            <c:spPr>
              <a:solidFill>
                <a:srgbClr val="7030A0"/>
              </a:solidFill>
            </c:spPr>
            <c:extLst>
              <c:ext xmlns:c16="http://schemas.microsoft.com/office/drawing/2014/chart" uri="{C3380CC4-5D6E-409C-BE32-E72D297353CC}">
                <c16:uniqueId val="{00000005-3308-4E53-8C5D-1DDF1CFA83B3}"/>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CountByZone!$A$28:$A$31</c:f>
              <c:strCache>
                <c:ptCount val="4"/>
                <c:pt idx="0">
                  <c:v>Africa</c:v>
                </c:pt>
                <c:pt idx="1">
                  <c:v>Americas</c:v>
                </c:pt>
                <c:pt idx="2">
                  <c:v>Asia Pacific</c:v>
                </c:pt>
                <c:pt idx="3">
                  <c:v>MENA</c:v>
                </c:pt>
              </c:strCache>
            </c:strRef>
          </c:cat>
          <c:val>
            <c:numRef>
              <c:f>CountByZone!$B$28:$B$31</c:f>
              <c:numCache>
                <c:formatCode>General</c:formatCode>
                <c:ptCount val="4"/>
                <c:pt idx="0">
                  <c:v>7891198</c:v>
                </c:pt>
                <c:pt idx="1">
                  <c:v>742202</c:v>
                </c:pt>
                <c:pt idx="2">
                  <c:v>4739209</c:v>
                </c:pt>
                <c:pt idx="3">
                  <c:v>29152</c:v>
                </c:pt>
              </c:numCache>
            </c:numRef>
          </c:val>
          <c:extLst>
            <c:ext xmlns:c16="http://schemas.microsoft.com/office/drawing/2014/chart" uri="{C3380CC4-5D6E-409C-BE32-E72D297353CC}">
              <c16:uniqueId val="{00000006-3308-4E53-8C5D-1DDF1CFA83B3}"/>
            </c:ext>
          </c:extLst>
        </c:ser>
        <c:dLbls>
          <c:showLegendKey val="0"/>
          <c:showVal val="0"/>
          <c:showCatName val="0"/>
          <c:showSerName val="0"/>
          <c:showPercent val="0"/>
          <c:showBubbleSize val="0"/>
        </c:dLbls>
        <c:gapWidth val="150"/>
        <c:axId val="38556416"/>
        <c:axId val="38557952"/>
      </c:barChart>
      <c:catAx>
        <c:axId val="38556416"/>
        <c:scaling>
          <c:orientation val="minMax"/>
        </c:scaling>
        <c:delete val="0"/>
        <c:axPos val="b"/>
        <c:numFmt formatCode="General" sourceLinked="0"/>
        <c:majorTickMark val="out"/>
        <c:minorTickMark val="none"/>
        <c:tickLblPos val="nextTo"/>
        <c:crossAx val="38557952"/>
        <c:crosses val="autoZero"/>
        <c:auto val="1"/>
        <c:lblAlgn val="ctr"/>
        <c:lblOffset val="100"/>
        <c:noMultiLvlLbl val="0"/>
      </c:catAx>
      <c:valAx>
        <c:axId val="38557952"/>
        <c:scaling>
          <c:orientation val="minMax"/>
        </c:scaling>
        <c:delete val="0"/>
        <c:axPos val="l"/>
        <c:majorGridlines/>
        <c:numFmt formatCode="General" sourceLinked="1"/>
        <c:majorTickMark val="out"/>
        <c:minorTickMark val="none"/>
        <c:tickLblPos val="nextTo"/>
        <c:crossAx val="385564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Number of Projects</a:t>
            </a:r>
            <a:r>
              <a:rPr lang="en-GB" baseline="0"/>
              <a:t> </a:t>
            </a:r>
            <a:endParaRPr lang="en-GB"/>
          </a:p>
        </c:rich>
      </c:tx>
      <c:overlay val="0"/>
    </c:title>
    <c:autoTitleDeleted val="0"/>
    <c:plotArea>
      <c:layout/>
      <c:barChart>
        <c:barDir val="col"/>
        <c:grouping val="clustered"/>
        <c:varyColors val="0"/>
        <c:ser>
          <c:idx val="0"/>
          <c:order val="0"/>
          <c:tx>
            <c:strRef>
              <c:f>Sheet4!$B$8</c:f>
              <c:strCache>
                <c:ptCount val="1"/>
                <c:pt idx="0">
                  <c:v>Count of Max of Water and Sanitation Served</c:v>
                </c:pt>
              </c:strCache>
            </c:strRef>
          </c:tx>
          <c:invertIfNegative val="0"/>
          <c:dPt>
            <c:idx val="1"/>
            <c:invertIfNegative val="0"/>
            <c:bubble3D val="0"/>
            <c:spPr>
              <a:solidFill>
                <a:srgbClr val="FF0000"/>
              </a:solidFill>
            </c:spPr>
            <c:extLst>
              <c:ext xmlns:c16="http://schemas.microsoft.com/office/drawing/2014/chart" uri="{C3380CC4-5D6E-409C-BE32-E72D297353CC}">
                <c16:uniqueId val="{00000001-9F4E-42A3-8478-2EF947374D7B}"/>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Sheet4!$A$9:$A$10</c:f>
              <c:strCache>
                <c:ptCount val="2"/>
                <c:pt idx="0">
                  <c:v>Bilateral</c:v>
                </c:pt>
                <c:pt idx="1">
                  <c:v>Multilateral</c:v>
                </c:pt>
              </c:strCache>
            </c:strRef>
          </c:cat>
          <c:val>
            <c:numRef>
              <c:f>Sheet4!$B$9:$B$10</c:f>
              <c:numCache>
                <c:formatCode>General</c:formatCode>
                <c:ptCount val="2"/>
                <c:pt idx="0">
                  <c:v>397</c:v>
                </c:pt>
                <c:pt idx="1">
                  <c:v>79</c:v>
                </c:pt>
              </c:numCache>
            </c:numRef>
          </c:val>
          <c:extLst>
            <c:ext xmlns:c16="http://schemas.microsoft.com/office/drawing/2014/chart" uri="{C3380CC4-5D6E-409C-BE32-E72D297353CC}">
              <c16:uniqueId val="{00000002-9F4E-42A3-8478-2EF947374D7B}"/>
            </c:ext>
          </c:extLst>
        </c:ser>
        <c:dLbls>
          <c:showLegendKey val="0"/>
          <c:showVal val="0"/>
          <c:showCatName val="0"/>
          <c:showSerName val="0"/>
          <c:showPercent val="0"/>
          <c:showBubbleSize val="0"/>
        </c:dLbls>
        <c:gapWidth val="150"/>
        <c:axId val="38575488"/>
        <c:axId val="38589568"/>
      </c:barChart>
      <c:catAx>
        <c:axId val="38575488"/>
        <c:scaling>
          <c:orientation val="minMax"/>
        </c:scaling>
        <c:delete val="0"/>
        <c:axPos val="b"/>
        <c:numFmt formatCode="General" sourceLinked="0"/>
        <c:majorTickMark val="out"/>
        <c:minorTickMark val="none"/>
        <c:tickLblPos val="nextTo"/>
        <c:crossAx val="38589568"/>
        <c:crosses val="autoZero"/>
        <c:auto val="1"/>
        <c:lblAlgn val="ctr"/>
        <c:lblOffset val="100"/>
        <c:noMultiLvlLbl val="0"/>
      </c:catAx>
      <c:valAx>
        <c:axId val="38589568"/>
        <c:scaling>
          <c:orientation val="minMax"/>
        </c:scaling>
        <c:delete val="0"/>
        <c:axPos val="l"/>
        <c:majorGridlines/>
        <c:numFmt formatCode="General" sourceLinked="1"/>
        <c:majorTickMark val="out"/>
        <c:minorTickMark val="none"/>
        <c:tickLblPos val="nextTo"/>
        <c:crossAx val="385754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Population</a:t>
            </a:r>
            <a:r>
              <a:rPr lang="en-GB" baseline="0"/>
              <a:t> Served</a:t>
            </a:r>
            <a:endParaRPr lang="en-GB"/>
          </a:p>
        </c:rich>
      </c:tx>
      <c:overlay val="0"/>
    </c:title>
    <c:autoTitleDeleted val="0"/>
    <c:pivotFmts>
      <c:pivotFmt>
        <c:idx val="0"/>
        <c:marker>
          <c:symbol val="none"/>
        </c:marker>
      </c:pivotFmt>
      <c:pivotFmt>
        <c:idx val="1"/>
        <c:spPr>
          <a:solidFill>
            <a:srgbClr val="FF0000"/>
          </a:solidFill>
        </c:spPr>
      </c:pivotFmt>
      <c:pivotFmt>
        <c:idx val="2"/>
        <c:marker>
          <c:symbol val="none"/>
        </c:marker>
      </c:pivotFmt>
      <c:pivotFmt>
        <c:idx val="3"/>
        <c:spPr>
          <a:solidFill>
            <a:srgbClr val="FF0000"/>
          </a:solidFill>
        </c:spPr>
      </c:pivotFmt>
      <c:pivotFmt>
        <c:idx val="4"/>
        <c:marker>
          <c:symbol val="none"/>
        </c:marker>
      </c:pivotFmt>
      <c:pivotFmt>
        <c:idx val="5"/>
        <c:spPr>
          <a:solidFill>
            <a:srgbClr val="FF0000"/>
          </a:solidFill>
        </c:spPr>
      </c:pivotFmt>
    </c:pivotFmts>
    <c:plotArea>
      <c:layout/>
      <c:barChart>
        <c:barDir val="col"/>
        <c:grouping val="clustered"/>
        <c:varyColors val="0"/>
        <c:ser>
          <c:idx val="0"/>
          <c:order val="0"/>
          <c:tx>
            <c:v>Total</c:v>
          </c:tx>
          <c:invertIfNegative val="0"/>
          <c:dPt>
            <c:idx val="1"/>
            <c:invertIfNegative val="0"/>
            <c:bubble3D val="0"/>
            <c:spPr>
              <a:solidFill>
                <a:srgbClr val="FF0000"/>
              </a:solidFill>
            </c:spPr>
            <c:extLst>
              <c:ext xmlns:c16="http://schemas.microsoft.com/office/drawing/2014/chart" uri="{C3380CC4-5D6E-409C-BE32-E72D297353CC}">
                <c16:uniqueId val="{00000001-1288-4F2B-AF8A-398CCF2DBBD9}"/>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88-4F2B-AF8A-398CCF2DBBD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88-4F2B-AF8A-398CCF2DBB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Lit>
              <c:ptCount val="2"/>
              <c:pt idx="0">
                <c:v>Bilateral</c:v>
              </c:pt>
              <c:pt idx="1">
                <c:v>Multilateral</c:v>
              </c:pt>
            </c:strLit>
          </c:cat>
          <c:val>
            <c:numLit>
              <c:formatCode>General</c:formatCode>
              <c:ptCount val="2"/>
              <c:pt idx="0">
                <c:v>10426956</c:v>
              </c:pt>
              <c:pt idx="1">
                <c:v>2974805</c:v>
              </c:pt>
            </c:numLit>
          </c:val>
          <c:extLst>
            <c:ext xmlns:c16="http://schemas.microsoft.com/office/drawing/2014/chart" uri="{C3380CC4-5D6E-409C-BE32-E72D297353CC}">
              <c16:uniqueId val="{00000003-1288-4F2B-AF8A-398CCF2DBBD9}"/>
            </c:ext>
          </c:extLst>
        </c:ser>
        <c:dLbls>
          <c:showLegendKey val="0"/>
          <c:showVal val="0"/>
          <c:showCatName val="0"/>
          <c:showSerName val="0"/>
          <c:showPercent val="0"/>
          <c:showBubbleSize val="0"/>
        </c:dLbls>
        <c:gapWidth val="150"/>
        <c:axId val="39533568"/>
        <c:axId val="39539456"/>
      </c:barChart>
      <c:catAx>
        <c:axId val="39533568"/>
        <c:scaling>
          <c:orientation val="minMax"/>
        </c:scaling>
        <c:delete val="0"/>
        <c:axPos val="b"/>
        <c:numFmt formatCode="General" sourceLinked="0"/>
        <c:majorTickMark val="out"/>
        <c:minorTickMark val="none"/>
        <c:tickLblPos val="nextTo"/>
        <c:crossAx val="39539456"/>
        <c:crosses val="autoZero"/>
        <c:auto val="1"/>
        <c:lblAlgn val="ctr"/>
        <c:lblOffset val="100"/>
        <c:noMultiLvlLbl val="0"/>
      </c:catAx>
      <c:valAx>
        <c:axId val="39539456"/>
        <c:scaling>
          <c:orientation val="minMax"/>
        </c:scaling>
        <c:delete val="0"/>
        <c:axPos val="l"/>
        <c:majorGridlines/>
        <c:numFmt formatCode="General" sourceLinked="1"/>
        <c:majorTickMark val="out"/>
        <c:minorTickMark val="none"/>
        <c:tickLblPos val="nextTo"/>
        <c:crossAx val="39533568"/>
        <c:crosses val="autoZero"/>
        <c:crossBetween val="between"/>
      </c:valAx>
    </c:plotArea>
    <c:plotVisOnly val="1"/>
    <c:dispBlanksAs val="gap"/>
    <c:showDLblsOverMax val="0"/>
  </c:chart>
  <c:externalData r:id="rId1">
    <c:autoUpdate val="0"/>
  </c:externalData>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IFRC-generic-template-EN</Template>
  <TotalTime>0</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DALGADO</dc:creator>
  <cp:lastModifiedBy>Letizia COTTAFAVI</cp:lastModifiedBy>
  <cp:revision>2</cp:revision>
  <dcterms:created xsi:type="dcterms:W3CDTF">2018-10-08T11:34:00Z</dcterms:created>
  <dcterms:modified xsi:type="dcterms:W3CDTF">2018-10-08T11:34:00Z</dcterms:modified>
</cp:coreProperties>
</file>